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02BBE" w14:textId="45041867" w:rsidR="00EB4039" w:rsidRDefault="00EB4039" w:rsidP="00664062">
      <w:pPr>
        <w:spacing w:after="0"/>
        <w:jc w:val="both"/>
        <w:rPr>
          <w:rFonts w:ascii="Times New Roman" w:hAnsi="Times New Roman"/>
          <w:b/>
          <w:sz w:val="22"/>
          <w:szCs w:val="22"/>
          <w:lang w:val="en-GB"/>
        </w:rPr>
      </w:pPr>
    </w:p>
    <w:p w14:paraId="4A431749" w14:textId="77777777" w:rsidR="00E30224" w:rsidRDefault="00E30224" w:rsidP="00E30224">
      <w:pPr>
        <w:spacing w:after="0"/>
        <w:jc w:val="center"/>
        <w:rPr>
          <w:rFonts w:ascii="Times New Roman" w:hAnsi="Times New Roman"/>
          <w:b/>
          <w:sz w:val="40"/>
          <w:szCs w:val="40"/>
          <w:lang w:val="en-GB"/>
        </w:rPr>
      </w:pPr>
    </w:p>
    <w:p w14:paraId="78E4BD4A" w14:textId="77777777" w:rsidR="00E30224" w:rsidRDefault="00E30224" w:rsidP="00E30224">
      <w:pPr>
        <w:spacing w:after="0"/>
        <w:jc w:val="center"/>
        <w:rPr>
          <w:rFonts w:ascii="Times New Roman" w:hAnsi="Times New Roman"/>
          <w:b/>
          <w:sz w:val="40"/>
          <w:szCs w:val="40"/>
          <w:lang w:val="en-GB"/>
        </w:rPr>
      </w:pPr>
    </w:p>
    <w:p w14:paraId="55F12B6E" w14:textId="77777777" w:rsidR="00E30224" w:rsidRDefault="00E30224" w:rsidP="00E30224">
      <w:pPr>
        <w:spacing w:after="0"/>
        <w:jc w:val="center"/>
        <w:rPr>
          <w:rFonts w:ascii="Times New Roman" w:hAnsi="Times New Roman"/>
          <w:b/>
          <w:sz w:val="40"/>
          <w:szCs w:val="40"/>
          <w:lang w:val="en-GB"/>
        </w:rPr>
      </w:pPr>
    </w:p>
    <w:p w14:paraId="6AA5387D" w14:textId="77777777" w:rsidR="00E30224" w:rsidRDefault="00E30224" w:rsidP="00E30224">
      <w:pPr>
        <w:spacing w:after="0"/>
        <w:jc w:val="center"/>
        <w:rPr>
          <w:rFonts w:ascii="Times New Roman" w:hAnsi="Times New Roman"/>
          <w:b/>
          <w:sz w:val="40"/>
          <w:szCs w:val="40"/>
          <w:lang w:val="en-GB"/>
        </w:rPr>
      </w:pPr>
    </w:p>
    <w:p w14:paraId="4928F6EB" w14:textId="201BEECF" w:rsidR="00E30224" w:rsidRPr="00E30224" w:rsidRDefault="00E30224" w:rsidP="00E30224">
      <w:pPr>
        <w:spacing w:after="0"/>
        <w:jc w:val="center"/>
        <w:rPr>
          <w:rFonts w:ascii="Times New Roman" w:hAnsi="Times New Roman"/>
          <w:b/>
          <w:sz w:val="40"/>
          <w:szCs w:val="40"/>
          <w:lang w:val="en-GB"/>
        </w:rPr>
      </w:pPr>
      <w:r w:rsidRPr="00E30224">
        <w:rPr>
          <w:rFonts w:ascii="Times New Roman" w:hAnsi="Times New Roman"/>
          <w:b/>
          <w:sz w:val="40"/>
          <w:szCs w:val="40"/>
          <w:lang w:val="en-GB"/>
        </w:rPr>
        <w:t>Technical specification</w:t>
      </w:r>
    </w:p>
    <w:tbl>
      <w:tblPr>
        <w:tblW w:w="12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0489"/>
        <w:gridCol w:w="1560"/>
      </w:tblGrid>
      <w:tr w:rsidR="00E30224" w:rsidRPr="00034B1D" w14:paraId="6C2B048B" w14:textId="77777777" w:rsidTr="000511DF">
        <w:trPr>
          <w:cantSplit/>
          <w:trHeight w:val="879"/>
          <w:tblHeader/>
        </w:trPr>
        <w:tc>
          <w:tcPr>
            <w:tcW w:w="738" w:type="dxa"/>
            <w:shd w:val="pct5" w:color="auto" w:fill="FFFFFF"/>
          </w:tcPr>
          <w:p w14:paraId="70AB03B1" w14:textId="77777777" w:rsidR="00E30224" w:rsidRDefault="00E30224" w:rsidP="00301346">
            <w:pPr>
              <w:jc w:val="center"/>
              <w:rPr>
                <w:rFonts w:ascii="Times New Roman" w:hAnsi="Times New Roman"/>
                <w:b/>
                <w:sz w:val="22"/>
                <w:szCs w:val="22"/>
              </w:rPr>
            </w:pPr>
            <w:r>
              <w:rPr>
                <w:rFonts w:ascii="Times New Roman" w:hAnsi="Times New Roman"/>
                <w:b/>
                <w:sz w:val="22"/>
                <w:szCs w:val="22"/>
              </w:rPr>
              <w:lastRenderedPageBreak/>
              <w:t>1.</w:t>
            </w:r>
          </w:p>
          <w:p w14:paraId="6BB99E40" w14:textId="576E430B" w:rsidR="00E30224" w:rsidRPr="00034B1D" w:rsidRDefault="00E30224" w:rsidP="00301346">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Pr>
                <w:rFonts w:ascii="Times New Roman" w:hAnsi="Times New Roman"/>
                <w:b/>
                <w:sz w:val="22"/>
                <w:szCs w:val="22"/>
              </w:rPr>
              <w:t>no.</w:t>
            </w:r>
          </w:p>
        </w:tc>
        <w:tc>
          <w:tcPr>
            <w:tcW w:w="10489" w:type="dxa"/>
            <w:shd w:val="pct5" w:color="auto" w:fill="FFFFFF"/>
          </w:tcPr>
          <w:p w14:paraId="4AF8EE51" w14:textId="77777777" w:rsidR="00E30224" w:rsidRDefault="00E30224"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E30224" w:rsidRPr="00034B1D" w:rsidRDefault="00E30224"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1560" w:type="dxa"/>
            <w:shd w:val="pct5" w:color="auto" w:fill="FFFFFF"/>
          </w:tcPr>
          <w:p w14:paraId="4F2FBE0F" w14:textId="77777777" w:rsidR="00E30224" w:rsidRDefault="00E30224"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1D28C0DA" w14:textId="3D67B213" w:rsidR="00E30224" w:rsidRDefault="00E30224" w:rsidP="00301346">
            <w:pPr>
              <w:tabs>
                <w:tab w:val="left" w:pos="729"/>
              </w:tabs>
              <w:jc w:val="center"/>
              <w:rPr>
                <w:rFonts w:ascii="Times New Roman" w:hAnsi="Times New Roman"/>
                <w:b/>
                <w:sz w:val="22"/>
                <w:szCs w:val="22"/>
              </w:rPr>
            </w:pPr>
            <w:r>
              <w:rPr>
                <w:rFonts w:ascii="Times New Roman" w:hAnsi="Times New Roman"/>
                <w:b/>
                <w:sz w:val="22"/>
                <w:szCs w:val="22"/>
              </w:rPr>
              <w:t>Quontities</w:t>
            </w:r>
          </w:p>
        </w:tc>
      </w:tr>
      <w:tr w:rsidR="00E30224" w:rsidRPr="00034B1D" w14:paraId="3F1D6183" w14:textId="77777777" w:rsidTr="000511DF">
        <w:trPr>
          <w:cantSplit/>
          <w:trHeight w:val="879"/>
          <w:tblHeader/>
        </w:trPr>
        <w:tc>
          <w:tcPr>
            <w:tcW w:w="738" w:type="dxa"/>
            <w:shd w:val="clear" w:color="auto" w:fill="FFFFFF" w:themeFill="background1"/>
          </w:tcPr>
          <w:p w14:paraId="4A65A979" w14:textId="1D2611F5" w:rsidR="00E30224" w:rsidRDefault="00E30224" w:rsidP="00AD4107">
            <w:pPr>
              <w:jc w:val="center"/>
              <w:rPr>
                <w:rFonts w:ascii="Times New Roman" w:hAnsi="Times New Roman"/>
                <w:b/>
                <w:sz w:val="22"/>
                <w:szCs w:val="22"/>
              </w:rPr>
            </w:pPr>
            <w:r>
              <w:rPr>
                <w:rFonts w:ascii="Times New Roman" w:hAnsi="Times New Roman"/>
                <w:b/>
                <w:sz w:val="22"/>
                <w:szCs w:val="22"/>
              </w:rPr>
              <w:lastRenderedPageBreak/>
              <w:t>1</w:t>
            </w:r>
          </w:p>
        </w:tc>
        <w:tc>
          <w:tcPr>
            <w:tcW w:w="10489" w:type="dxa"/>
            <w:tcBorders>
              <w:top w:val="single" w:sz="4" w:space="0" w:color="auto"/>
              <w:left w:val="single" w:sz="4" w:space="0" w:color="auto"/>
              <w:bottom w:val="single" w:sz="4" w:space="0" w:color="auto"/>
              <w:right w:val="single" w:sz="4" w:space="0" w:color="auto"/>
            </w:tcBorders>
            <w:shd w:val="clear" w:color="auto" w:fill="auto"/>
            <w:vAlign w:val="bottom"/>
          </w:tcPr>
          <w:p w14:paraId="7F7FB5EE" w14:textId="6828D8EC" w:rsidR="00E30224" w:rsidRPr="00AD4107" w:rsidRDefault="00E30224" w:rsidP="00AD4107">
            <w:pPr>
              <w:spacing w:before="0" w:after="0"/>
              <w:rPr>
                <w:rFonts w:ascii="Calibri" w:hAnsi="Calibri" w:cs="Calibri"/>
                <w:b/>
                <w:sz w:val="22"/>
                <w:szCs w:val="22"/>
              </w:rPr>
            </w:pPr>
            <w:r w:rsidRPr="00AD4107">
              <w:rPr>
                <w:rFonts w:ascii="Calibri" w:hAnsi="Calibri" w:cs="Calibri"/>
                <w:b/>
                <w:sz w:val="22"/>
                <w:szCs w:val="22"/>
              </w:rPr>
              <w:t>50-55W LED luminaire</w:t>
            </w:r>
          </w:p>
          <w:p w14:paraId="0216B2A6" w14:textId="77777777" w:rsidR="00E30224" w:rsidRDefault="00E30224" w:rsidP="00AD4107">
            <w:pPr>
              <w:spacing w:before="0" w:after="0"/>
              <w:rPr>
                <w:rFonts w:ascii="Calibri" w:hAnsi="Calibri" w:cs="Calibri"/>
                <w:sz w:val="22"/>
                <w:szCs w:val="22"/>
              </w:rPr>
            </w:pPr>
          </w:p>
          <w:p w14:paraId="07707707"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Minimum Technical Specifications for LED Street Luminaire</w:t>
            </w:r>
          </w:p>
          <w:p w14:paraId="00930E3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Scope of use: road and/or pedestrian pathway lighting;</w:t>
            </w:r>
          </w:p>
          <w:p w14:paraId="24949F62"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luminaire shall be integrated into a remote management system that allows remote control;</w:t>
            </w:r>
          </w:p>
          <w:p w14:paraId="74B338C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luminaire shall be equipped with a telemanagement module, powered and installed via a standardized NEMA or Zhaga socket, or equivalent;</w:t>
            </w:r>
          </w:p>
          <w:p w14:paraId="1A974A1C"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Nominal supply voltage: 230 V AC ± 10%;</w:t>
            </w:r>
          </w:p>
          <w:p w14:paraId="3902DB6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Nominal frequency: 50 Hz;</w:t>
            </w:r>
          </w:p>
          <w:p w14:paraId="3DA8DAD6"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Electrical insulation class: II;</w:t>
            </w:r>
          </w:p>
          <w:p w14:paraId="11E00F59"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Power factor: ≥0.95;</w:t>
            </w:r>
          </w:p>
          <w:p w14:paraId="5BB9875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Ingress protection rating: minimum IP66;</w:t>
            </w:r>
          </w:p>
          <w:p w14:paraId="778B30A2"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Impact resistance rating: minimum IK09;</w:t>
            </w:r>
          </w:p>
          <w:p w14:paraId="31D5B0FC"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Certified operating temperature range: minimum -25 … +55°C;</w:t>
            </w:r>
          </w:p>
          <w:p w14:paraId="6DF3906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Installed power: minimum 50W and maximum 55W – in non-dimmed operating mode (100%);</w:t>
            </w:r>
          </w:p>
          <w:p w14:paraId="33F6DB77"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Certified total luminous flux: minimum 9900 Lm</w:t>
            </w:r>
          </w:p>
          <w:p w14:paraId="204E3262"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Lifetime: minimum 100,000 hours, L90B10;</w:t>
            </w:r>
          </w:p>
          <w:p w14:paraId="72EF9E62" w14:textId="77777777" w:rsidR="00E30224" w:rsidRPr="00AD4107" w:rsidRDefault="00E30224" w:rsidP="00AD4107">
            <w:pPr>
              <w:spacing w:before="0" w:after="0"/>
              <w:rPr>
                <w:rFonts w:ascii="Calibri" w:hAnsi="Calibri" w:cs="Calibri"/>
                <w:sz w:val="22"/>
                <w:szCs w:val="22"/>
              </w:rPr>
            </w:pPr>
          </w:p>
          <w:p w14:paraId="6D9C0C1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luminaire shall have the following components:</w:t>
            </w:r>
          </w:p>
          <w:p w14:paraId="1687A266"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Housing made of die-cast aluminum;</w:t>
            </w:r>
          </w:p>
          <w:p w14:paraId="6C6DDBC6"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Electrical compartment cover provided with a device to maintain the “Open” position during maintenance works;</w:t>
            </w:r>
          </w:p>
          <w:p w14:paraId="4D952806"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Optical compartment equipped with flat, clear, tempered glass diffuser;</w:t>
            </w:r>
          </w:p>
          <w:p w14:paraId="6E2D5A0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Electrical accessories compartment and optical compartment shall be separated, in order to avoid dust ingress/soiling of the optical compartment during interventions in the electrical compartment;</w:t>
            </w:r>
          </w:p>
          <w:p w14:paraId="5CE29A73"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Thermal management shall be achieved without the use of external fins or cut-outs (to avoid dust and leaf accumulation);</w:t>
            </w:r>
          </w:p>
          <w:p w14:paraId="7C4C0FB5"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Equipped with built-in protection against lightning and surge voltage, minimum 10 kV, for all electronic components integrated into the luminaire. The protection device shall be a separate component from the driver and replaceable in case of failure;</w:t>
            </w:r>
          </w:p>
          <w:p w14:paraId="0D037C1B"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Equipped with a bayonet-type or similar connector to allow automatic disconnection of power supply when the electrical compartment is opened;</w:t>
            </w:r>
          </w:p>
          <w:p w14:paraId="59BCDA45"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LED board shall be provided with a sensor to command luminous flux reduction when LED source temperature exceeds a predefined critical threshold;</w:t>
            </w:r>
          </w:p>
          <w:p w14:paraId="3D0E675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lastRenderedPageBreak/>
              <w:t>The luminaire shall have an engraved, stamped, or otherwise permanently marked QR code, ensuring readability throughout its entire service life. Proof of durability of the QR code under real operating conditions shall be provided.</w:t>
            </w:r>
          </w:p>
          <w:p w14:paraId="6C9EC852"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When scanning the QR code using a dedicated mobile application provided by the manufacturer, the user shall be directed to essential information regarding the luminaire, including at least the following informations:</w:t>
            </w:r>
          </w:p>
          <w:p w14:paraId="2277E495"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Product name;</w:t>
            </w:r>
          </w:p>
          <w:p w14:paraId="6C88E618"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Product code;</w:t>
            </w:r>
          </w:p>
          <w:p w14:paraId="5AF008E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Nominal power;</w:t>
            </w:r>
          </w:p>
          <w:p w14:paraId="4591516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Luminous flux;</w:t>
            </w:r>
          </w:p>
          <w:p w14:paraId="72ED39C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Luminaire color;</w:t>
            </w:r>
          </w:p>
          <w:p w14:paraId="11CD90A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Light color temperature;</w:t>
            </w:r>
          </w:p>
          <w:p w14:paraId="16344EE3"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Color rendering index;</w:t>
            </w:r>
          </w:p>
          <w:p w14:paraId="6FC30E9D"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Type of light distribution;</w:t>
            </w:r>
          </w:p>
          <w:p w14:paraId="2914870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Number of LEDs;</w:t>
            </w:r>
          </w:p>
          <w:p w14:paraId="138E253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Insulation class;</w:t>
            </w:r>
          </w:p>
          <w:p w14:paraId="4F357B0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Power factor;</w:t>
            </w:r>
          </w:p>
          <w:p w14:paraId="51BCA3A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Production date;</w:t>
            </w:r>
          </w:p>
          <w:p w14:paraId="4CDF837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IP protection rating;</w:t>
            </w:r>
          </w:p>
          <w:p w14:paraId="35C3CD8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IK impact rating;</w:t>
            </w:r>
          </w:p>
          <w:p w14:paraId="33B1086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Weight;</w:t>
            </w:r>
          </w:p>
          <w:p w14:paraId="299BB55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LED type;</w:t>
            </w:r>
          </w:p>
          <w:p w14:paraId="5588188D"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Permissible mounting bracket size Φ;</w:t>
            </w:r>
          </w:p>
          <w:p w14:paraId="6122CC89"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Driver type;</w:t>
            </w:r>
          </w:p>
          <w:p w14:paraId="0F0D928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Control option;</w:t>
            </w:r>
          </w:p>
          <w:p w14:paraId="16BA974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Telemanagement options;</w:t>
            </w:r>
          </w:p>
          <w:p w14:paraId="0F49BFDB"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Ordering codes for spare parts: driver, LED module, etc.</w:t>
            </w:r>
          </w:p>
          <w:p w14:paraId="1B51F839"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Driver settings:</w:t>
            </w:r>
          </w:p>
          <w:p w14:paraId="32AC5702" w14:textId="77777777" w:rsidR="00E30224" w:rsidRPr="00AD4107" w:rsidRDefault="00E30224" w:rsidP="00AD4107">
            <w:pPr>
              <w:spacing w:before="0" w:after="0"/>
              <w:rPr>
                <w:rFonts w:ascii="Calibri" w:hAnsi="Calibri" w:cs="Calibri"/>
                <w:sz w:val="22"/>
                <w:szCs w:val="22"/>
              </w:rPr>
            </w:pPr>
          </w:p>
          <w:p w14:paraId="1892B95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Dimming range;</w:t>
            </w:r>
          </w:p>
          <w:p w14:paraId="4FDC7793"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Dimming program;</w:t>
            </w:r>
          </w:p>
          <w:p w14:paraId="57E414B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Operating current;</w:t>
            </w:r>
          </w:p>
          <w:p w14:paraId="63FCD52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CLO (Constant Light Output).</w:t>
            </w:r>
          </w:p>
          <w:p w14:paraId="7589227C" w14:textId="77777777" w:rsidR="00E30224" w:rsidRPr="00AD4107" w:rsidRDefault="00E30224" w:rsidP="00AD4107">
            <w:pPr>
              <w:spacing w:before="0" w:after="0"/>
              <w:rPr>
                <w:rFonts w:ascii="Calibri" w:hAnsi="Calibri" w:cs="Calibri"/>
                <w:sz w:val="22"/>
                <w:szCs w:val="22"/>
              </w:rPr>
            </w:pPr>
          </w:p>
          <w:p w14:paraId="28FCE489"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user shall be able to add additional information regarding equipment identification and service history, such as:</w:t>
            </w:r>
          </w:p>
          <w:p w14:paraId="08D82E6B"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lastRenderedPageBreak/>
              <w:t>Installation location (references, pole number, etc.);</w:t>
            </w:r>
          </w:p>
          <w:p w14:paraId="68797FC2"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Maintenance and service operations history.</w:t>
            </w:r>
          </w:p>
          <w:p w14:paraId="18271ADB" w14:textId="77777777" w:rsidR="00E30224" w:rsidRPr="00AD4107" w:rsidRDefault="00E30224" w:rsidP="00AD4107">
            <w:pPr>
              <w:spacing w:before="0" w:after="0"/>
              <w:rPr>
                <w:rFonts w:ascii="Calibri" w:hAnsi="Calibri" w:cs="Calibri"/>
                <w:sz w:val="22"/>
                <w:szCs w:val="22"/>
              </w:rPr>
            </w:pPr>
          </w:p>
          <w:p w14:paraId="2F3E142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Access to this information shall be protected by authentication with a predefined username and password.</w:t>
            </w:r>
          </w:p>
          <w:p w14:paraId="7B9913A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information may be exported for generating operation reports via application output in .csv, .xml, or other data file formats.</w:t>
            </w:r>
          </w:p>
          <w:p w14:paraId="3A930F69"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Mobile applications shall be available from secure download environments in Play Store and App Store.</w:t>
            </w:r>
          </w:p>
          <w:p w14:paraId="36C2F5CE" w14:textId="77777777" w:rsidR="00E30224" w:rsidRPr="00AD4107" w:rsidRDefault="00E30224" w:rsidP="00AD4107">
            <w:pPr>
              <w:spacing w:before="0" w:after="0"/>
              <w:rPr>
                <w:rFonts w:ascii="Calibri" w:hAnsi="Calibri" w:cs="Calibri"/>
                <w:sz w:val="22"/>
                <w:szCs w:val="22"/>
              </w:rPr>
            </w:pPr>
          </w:p>
          <w:p w14:paraId="705C9E53"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Equipped with LED light source with the following characteristics:</w:t>
            </w:r>
          </w:p>
          <w:p w14:paraId="2C32C2B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Color temperature: Tc = 4000K ± 10%;</w:t>
            </w:r>
          </w:p>
          <w:p w14:paraId="326514B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Color rendering index: Ra ≥70.</w:t>
            </w:r>
          </w:p>
          <w:p w14:paraId="6AD789D6" w14:textId="77777777" w:rsidR="00E30224" w:rsidRPr="00AD4107" w:rsidRDefault="00E30224" w:rsidP="00AD4107">
            <w:pPr>
              <w:spacing w:before="0" w:after="0"/>
              <w:rPr>
                <w:rFonts w:ascii="Calibri" w:hAnsi="Calibri" w:cs="Calibri"/>
                <w:sz w:val="22"/>
                <w:szCs w:val="22"/>
              </w:rPr>
            </w:pPr>
          </w:p>
          <w:p w14:paraId="69CFD82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programmable electronic ballast, compatible with the type of light source used, shall have at least the following functions:</w:t>
            </w:r>
          </w:p>
          <w:p w14:paraId="65A3D197" w14:textId="77777777" w:rsidR="00E30224" w:rsidRPr="00AD4107" w:rsidRDefault="00E30224" w:rsidP="00AD4107">
            <w:pPr>
              <w:spacing w:before="0" w:after="0"/>
              <w:rPr>
                <w:rFonts w:ascii="Calibri" w:hAnsi="Calibri" w:cs="Calibri"/>
                <w:sz w:val="22"/>
                <w:szCs w:val="22"/>
              </w:rPr>
            </w:pPr>
          </w:p>
          <w:p w14:paraId="58AC790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Communication capability with telemanagement modules via 0-10V / PWM / DALI / DALI-2 / D4i or similar protocols.</w:t>
            </w:r>
          </w:p>
          <w:p w14:paraId="6BAAEB76" w14:textId="77777777" w:rsidR="00E30224" w:rsidRPr="00AD4107" w:rsidRDefault="00E30224" w:rsidP="00AD4107">
            <w:pPr>
              <w:spacing w:before="0" w:after="0"/>
              <w:rPr>
                <w:rFonts w:ascii="Calibri" w:hAnsi="Calibri" w:cs="Calibri"/>
                <w:sz w:val="22"/>
                <w:szCs w:val="22"/>
              </w:rPr>
            </w:pPr>
          </w:p>
          <w:p w14:paraId="1717EE6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luminaire shall be equipped with a standardized NEMA or Zhaga socket on the top side, for future integration of remote control modules. For luminaires that will not be equipped with a telemanagement system within this project, protective covers / shorting caps shall be provided.</w:t>
            </w:r>
          </w:p>
          <w:p w14:paraId="0C20B0EB"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For the luminaires, the following technical documentation shall be provided to certify compliance with the minimum quality and performance requirements:</w:t>
            </w:r>
          </w:p>
          <w:p w14:paraId="5D2FEB4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ENEC certificate confirming compliance with the following standards: EN 60598, issued by an accredited certification body.</w:t>
            </w:r>
          </w:p>
          <w:p w14:paraId="12610C2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ENEC Plus certificate confirming compliance with the following standards: EPRS 003, EN 62722-2-1:2016, EPRS 002:2025-04, EN IEC 62722-1:2022, issued by an accredited certification body.</w:t>
            </w:r>
          </w:p>
          <w:p w14:paraId="301D2C4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Certificate of Conformity with Directive RoHS 2011/65/EU, issued by an accredited certification body, together with the corresponding test report.</w:t>
            </w:r>
          </w:p>
          <w:p w14:paraId="6A39A63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Test report regarding the Low Voltage Directive (LVD) confirming compliance with the following standards: EN 60598-1, EN 60598-2-3, issued by an accredited laboratory.</w:t>
            </w:r>
          </w:p>
          <w:p w14:paraId="40AB86AB"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Test report for the assessment of blue light hazard for the luminaire, confirming compliance with standard IEC 62778, issued by an accredited laboratory.</w:t>
            </w:r>
          </w:p>
          <w:p w14:paraId="0F5A286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Test report regarding the Electromagnetic Compatibility Directive (EMC) confirming compliance with the following standards: IEC 55015; EN 61000; EN 61547, issued by an accredited laboratory.</w:t>
            </w:r>
          </w:p>
          <w:p w14:paraId="10CD194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lastRenderedPageBreak/>
              <w:t>-        Test report for minimum protection rating IP66, issued by an accredited laboratory.</w:t>
            </w:r>
          </w:p>
          <w:p w14:paraId="274F065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test report shall be provided for minimum protection rating IK09, issued by an accredited laboratory</w:t>
            </w:r>
          </w:p>
          <w:p w14:paraId="1DB414A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test report shall be provided for the verification of vibration resistance, issued by an accredited laboratory.</w:t>
            </w:r>
          </w:p>
          <w:p w14:paraId="2087F4C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test report shall be provided for the determination of the aerodynamic coefficients specific to street luminaires by means of wind tunnel tests. The test shall be performed for at least 5 testing positions. The test shall be carried out under wind conditions of at least 188 km/h (52 m/s) in accordance with EN 60598.</w:t>
            </w:r>
          </w:p>
          <w:p w14:paraId="1AC52D3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photometric test report shall be provided for the entire offered luminaire, for the offered installed power and configuration level, issued by an accredited laboratory. The report shall include the active power of the tested sample, luminous flux, luminous efficacy, power factor, and the polar coordinate distribution of the light emitted by the tested sample.</w:t>
            </w:r>
          </w:p>
          <w:p w14:paraId="19635033"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luminaire manufacturer shall provide a mobile application, available in secure download environments (Play Store and App Store), for managing and querying the luminaire via QR code scanning. To verify functionalities, the application name shall be specified, and a demo account along with a test QR code shall be provided.</w:t>
            </w:r>
          </w:p>
          <w:p w14:paraId="716CDEF2" w14:textId="12086C21" w:rsidR="00E30224" w:rsidRDefault="00E30224" w:rsidP="00AD4107">
            <w:pPr>
              <w:spacing w:before="0" w:after="0"/>
              <w:rPr>
                <w:rFonts w:ascii="Calibri" w:hAnsi="Calibri" w:cs="Calibri"/>
                <w:sz w:val="22"/>
                <w:szCs w:val="22"/>
              </w:rPr>
            </w:pPr>
            <w:r w:rsidRPr="00AD4107">
              <w:rPr>
                <w:rFonts w:ascii="Calibri" w:hAnsi="Calibri" w:cs="Calibri"/>
                <w:sz w:val="22"/>
                <w:szCs w:val="22"/>
              </w:rPr>
              <w:t>Warranty conditions: luminaire – minimum 5 years.</w:t>
            </w:r>
          </w:p>
          <w:p w14:paraId="3923685D" w14:textId="58E5B5E3" w:rsidR="00E30224" w:rsidRDefault="00E30224" w:rsidP="00AD4107">
            <w:pPr>
              <w:spacing w:before="0" w:after="0"/>
              <w:rPr>
                <w:rFonts w:ascii="Times New Roman" w:hAnsi="Times New Roman"/>
                <w:b/>
                <w:sz w:val="22"/>
                <w:szCs w:val="22"/>
              </w:rPr>
            </w:pPr>
          </w:p>
        </w:tc>
        <w:tc>
          <w:tcPr>
            <w:tcW w:w="1560" w:type="dxa"/>
            <w:shd w:val="clear" w:color="auto" w:fill="FFFFFF" w:themeFill="background1"/>
          </w:tcPr>
          <w:p w14:paraId="752E71CB" w14:textId="1688236C"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500 pcs</w:t>
            </w:r>
          </w:p>
        </w:tc>
      </w:tr>
      <w:tr w:rsidR="00E30224" w:rsidRPr="00034B1D" w14:paraId="4038CF98" w14:textId="77777777" w:rsidTr="000511DF">
        <w:trPr>
          <w:cantSplit/>
          <w:trHeight w:val="879"/>
          <w:tblHeader/>
        </w:trPr>
        <w:tc>
          <w:tcPr>
            <w:tcW w:w="738" w:type="dxa"/>
            <w:shd w:val="clear" w:color="auto" w:fill="FFFFFF" w:themeFill="background1"/>
          </w:tcPr>
          <w:p w14:paraId="4A655D95" w14:textId="06FE7EC3" w:rsidR="00E30224" w:rsidRDefault="00E30224" w:rsidP="00AD4107">
            <w:pPr>
              <w:jc w:val="center"/>
              <w:rPr>
                <w:rFonts w:ascii="Times New Roman" w:hAnsi="Times New Roman"/>
                <w:b/>
                <w:sz w:val="22"/>
                <w:szCs w:val="22"/>
              </w:rPr>
            </w:pPr>
            <w:r>
              <w:rPr>
                <w:rFonts w:ascii="Times New Roman" w:hAnsi="Times New Roman"/>
                <w:b/>
                <w:sz w:val="22"/>
                <w:szCs w:val="22"/>
              </w:rPr>
              <w:lastRenderedPageBreak/>
              <w:t>2</w:t>
            </w:r>
          </w:p>
        </w:tc>
        <w:tc>
          <w:tcPr>
            <w:tcW w:w="10489" w:type="dxa"/>
            <w:tcBorders>
              <w:top w:val="nil"/>
              <w:left w:val="single" w:sz="4" w:space="0" w:color="auto"/>
              <w:bottom w:val="single" w:sz="4" w:space="0" w:color="auto"/>
              <w:right w:val="single" w:sz="4" w:space="0" w:color="auto"/>
            </w:tcBorders>
            <w:shd w:val="clear" w:color="auto" w:fill="auto"/>
            <w:vAlign w:val="bottom"/>
          </w:tcPr>
          <w:p w14:paraId="4037E3D0" w14:textId="3B2B70CA" w:rsidR="00E30224" w:rsidRPr="00AD4107" w:rsidRDefault="00E30224" w:rsidP="00AD4107">
            <w:pPr>
              <w:spacing w:before="0" w:after="0"/>
              <w:rPr>
                <w:rFonts w:ascii="Calibri" w:hAnsi="Calibri" w:cs="Calibri"/>
                <w:b/>
                <w:sz w:val="22"/>
                <w:szCs w:val="22"/>
              </w:rPr>
            </w:pPr>
            <w:r w:rsidRPr="00AD4107">
              <w:rPr>
                <w:rFonts w:ascii="Calibri" w:hAnsi="Calibri" w:cs="Calibri"/>
                <w:b/>
                <w:sz w:val="22"/>
                <w:szCs w:val="22"/>
              </w:rPr>
              <w:t>Telemanagement controller</w:t>
            </w:r>
          </w:p>
          <w:p w14:paraId="0C92C124" w14:textId="750827B0" w:rsidR="00E30224" w:rsidRDefault="00E30224" w:rsidP="00AD4107">
            <w:pPr>
              <w:spacing w:before="0" w:after="0"/>
              <w:rPr>
                <w:rFonts w:ascii="Calibri" w:hAnsi="Calibri" w:cs="Calibri"/>
                <w:sz w:val="22"/>
                <w:szCs w:val="22"/>
              </w:rPr>
            </w:pPr>
          </w:p>
          <w:p w14:paraId="2AE51BF5"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Minimum Technical Specifications – light point controller</w:t>
            </w:r>
          </w:p>
          <w:p w14:paraId="326E5547" w14:textId="31DAB856"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Nominal supply voltage: 24 V DC for Zhaga</w:t>
            </w:r>
            <w:r>
              <w:rPr>
                <w:rFonts w:ascii="Calibri" w:hAnsi="Calibri" w:cs="Calibri"/>
                <w:sz w:val="22"/>
                <w:szCs w:val="22"/>
              </w:rPr>
              <w:t xml:space="preserve"> or equivalent</w:t>
            </w:r>
            <w:r w:rsidRPr="00AD4107">
              <w:rPr>
                <w:rFonts w:ascii="Calibri" w:hAnsi="Calibri" w:cs="Calibri"/>
                <w:sz w:val="22"/>
                <w:szCs w:val="22"/>
              </w:rPr>
              <w:t xml:space="preserve"> / 230 V AC for NEMA</w:t>
            </w:r>
            <w:r>
              <w:rPr>
                <w:rFonts w:ascii="Calibri" w:hAnsi="Calibri" w:cs="Calibri"/>
                <w:sz w:val="22"/>
                <w:szCs w:val="22"/>
              </w:rPr>
              <w:t xml:space="preserve"> or equivalent</w:t>
            </w:r>
            <w:r w:rsidRPr="00AD4107">
              <w:rPr>
                <w:rFonts w:ascii="Calibri" w:hAnsi="Calibri" w:cs="Calibri"/>
                <w:sz w:val="22"/>
                <w:szCs w:val="22"/>
              </w:rPr>
              <w:t xml:space="preserve"> ± 10%</w:t>
            </w:r>
          </w:p>
          <w:p w14:paraId="4DCA656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Nominal frequency: 50 Hz</w:t>
            </w:r>
          </w:p>
          <w:p w14:paraId="689FF2E2"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Ingress protection rating: minimum IP66</w:t>
            </w:r>
          </w:p>
          <w:p w14:paraId="5B35AE3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Impact resistance: minimum IK09</w:t>
            </w:r>
          </w:p>
          <w:p w14:paraId="3569D704" w14:textId="3B518B86"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xml:space="preserve">Mounting: “Plug and play” socket (NEMA / ZHAGA or </w:t>
            </w:r>
            <w:r>
              <w:rPr>
                <w:rFonts w:ascii="Calibri" w:hAnsi="Calibri" w:cs="Calibri"/>
                <w:sz w:val="22"/>
                <w:szCs w:val="22"/>
              </w:rPr>
              <w:t>equivalent</w:t>
            </w:r>
            <w:r w:rsidRPr="00AD4107">
              <w:rPr>
                <w:rFonts w:ascii="Calibri" w:hAnsi="Calibri" w:cs="Calibri"/>
                <w:sz w:val="22"/>
                <w:szCs w:val="22"/>
              </w:rPr>
              <w:t>)</w:t>
            </w:r>
          </w:p>
          <w:p w14:paraId="386A762B"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Certified operating temperature range: minimum -25 … +55°C</w:t>
            </w:r>
          </w:p>
          <w:p w14:paraId="67440E8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Housing material: UV-resistant polycarbonate</w:t>
            </w:r>
          </w:p>
          <w:p w14:paraId="38EF73F8"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Type of communication with Gateway or Smart Fuse Box: technologies that do not generate data transmission costs during the entire lifetime of the equipment: technology using power lines or long-range free radio frequency communications within the 863÷873 MHz band.</w:t>
            </w:r>
          </w:p>
          <w:p w14:paraId="5540B9C6" w14:textId="7FBD9670"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xml:space="preserve">Capable of local communication with sensors via standardized protocols (DALI, DALI-2, D4i or </w:t>
            </w:r>
            <w:r>
              <w:rPr>
                <w:rFonts w:ascii="Calibri" w:hAnsi="Calibri" w:cs="Calibri"/>
                <w:sz w:val="22"/>
                <w:szCs w:val="22"/>
              </w:rPr>
              <w:t>equivalent</w:t>
            </w:r>
            <w:r w:rsidRPr="00AD4107">
              <w:rPr>
                <w:rFonts w:ascii="Calibri" w:hAnsi="Calibri" w:cs="Calibri"/>
                <w:sz w:val="22"/>
                <w:szCs w:val="22"/>
              </w:rPr>
              <w:t>).</w:t>
            </w:r>
          </w:p>
          <w:p w14:paraId="2F23C21D"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equipment shall be equipped with a temperature sensor</w:t>
            </w:r>
          </w:p>
          <w:p w14:paraId="09DA9C9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equipment shall be equipped with a light sensor and an RTC clock or similar for autonomous operation</w:t>
            </w:r>
          </w:p>
          <w:p w14:paraId="22B52BD6"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equipment shall have at least the following functionalities:</w:t>
            </w:r>
          </w:p>
          <w:p w14:paraId="1B5F7D52"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Reports to the CMS alerts of exceeding operational parameters via Gateway or Smart Fuse Box with telemanagement</w:t>
            </w:r>
          </w:p>
          <w:p w14:paraId="39577EB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Reports to the CMS any change in the pole position (traffic accident, deviation from vertical) via Gateway or Smart Fuse Box with telemanagement</w:t>
            </w:r>
          </w:p>
          <w:p w14:paraId="6CA42636"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Controls switching on/off or increasing/reducing the luminous flux of the controlled luminaire based on manual commands, predefined operating scenarios, or information received from sensors</w:t>
            </w:r>
          </w:p>
          <w:p w14:paraId="705AE49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Can be queried on-site by scanning the equipment’s QR code using the mobile telemanagement application or from the web telemanagement application by selecting it on the map</w:t>
            </w:r>
          </w:p>
          <w:p w14:paraId="6A017D1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When querying a controller using the mobile telemanagement application or the web telemanagement application, at least the following information shall be displayed:</w:t>
            </w:r>
          </w:p>
          <w:p w14:paraId="56294A73"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Status of the controlled luminaire (ON/OFF, ACTIVE/INACTIVE, etc.)</w:t>
            </w:r>
          </w:p>
          <w:p w14:paraId="091A0F39"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Internal temperature of the equipment</w:t>
            </w:r>
          </w:p>
          <w:p w14:paraId="47C6B155"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Commissioning date</w:t>
            </w:r>
          </w:p>
          <w:p w14:paraId="2C8DE97D"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Number of operating hours</w:t>
            </w:r>
          </w:p>
          <w:p w14:paraId="5B43318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Active operating scenario</w:t>
            </w:r>
          </w:p>
          <w:p w14:paraId="3BD109ED"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Electrical operating parameters (frequency, power factor, voltage, active/reactive/apparent power, current)</w:t>
            </w:r>
          </w:p>
          <w:p w14:paraId="5D768DC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Equipment location</w:t>
            </w:r>
          </w:p>
          <w:p w14:paraId="282B0755"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lastRenderedPageBreak/>
              <w:t>The controller shall be capable of receiving operating scenarios from the CMS via Gateway or Smart Fuse Box with telemanagement and storing them for autonomous operation in case of communication loss with the system.</w:t>
            </w:r>
          </w:p>
          <w:p w14:paraId="15C50626"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controller shall have a QR code permanently marked (engraved, stamped, or by any other method ensuring readability throughout the equipment’s lifetime), which can be queried regardless of whether the controller is powered or not. By scanning the QR code using the mobile telemanagement application, the user shall be directed to a set of essential information about the equipment, including at least:</w:t>
            </w:r>
          </w:p>
          <w:p w14:paraId="4289911C"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Product name;</w:t>
            </w:r>
          </w:p>
          <w:p w14:paraId="3290A69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Product identification code;</w:t>
            </w:r>
          </w:p>
          <w:p w14:paraId="72535993"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Production date;</w:t>
            </w:r>
          </w:p>
          <w:p w14:paraId="02A0462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Supply voltage;</w:t>
            </w:r>
          </w:p>
          <w:p w14:paraId="59AF1ED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Own power consumption;</w:t>
            </w:r>
          </w:p>
          <w:p w14:paraId="2E3F7A40"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IP protection rating;</w:t>
            </w:r>
          </w:p>
          <w:p w14:paraId="5441A6B1"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IK impact resistance rating;</w:t>
            </w:r>
          </w:p>
          <w:p w14:paraId="75A4AC0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Mounting socket type;</w:t>
            </w:r>
          </w:p>
          <w:p w14:paraId="4968F05F"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Communication type;</w:t>
            </w:r>
          </w:p>
          <w:p w14:paraId="59DA4659"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Dimming range;</w:t>
            </w:r>
          </w:p>
          <w:p w14:paraId="25C9BC5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Controller equipment level;</w:t>
            </w:r>
          </w:p>
          <w:p w14:paraId="474C3B8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Ordering codes for spare parts.</w:t>
            </w:r>
          </w:p>
          <w:p w14:paraId="5294EB5B"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user shall be able to add additional information regarding the identification and service history of the equipment, such as:</w:t>
            </w:r>
          </w:p>
          <w:p w14:paraId="3615F42D"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Installation location (references, pole number, etc.);</w:t>
            </w:r>
          </w:p>
          <w:p w14:paraId="03452E54"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Maintenance and service operations history.</w:t>
            </w:r>
          </w:p>
          <w:p w14:paraId="100F070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Access to this information shall be protected by authentication with a predefined username and password in the web telemanagement application.</w:t>
            </w:r>
          </w:p>
          <w:p w14:paraId="2B8DB8CB"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The equipment shall be compatible with the telemanagement software and mobile applications used for the management and control of the lighting system.</w:t>
            </w:r>
          </w:p>
          <w:p w14:paraId="76F70A07"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For the luminaire controller, the following documentation shall be submitted to demonstrate compliance with the minimum technical specifications for quality and performance:</w:t>
            </w:r>
          </w:p>
          <w:p w14:paraId="7E4896EA"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ENEC certificate or equivalent, demonstrating the controller’s compliance with EN 61347, issued by an accredited certification body in accordance with EN ISO/IEC 17065:2013, together with the corresponding test report.</w:t>
            </w:r>
          </w:p>
          <w:p w14:paraId="41D29042" w14:textId="72E95EE5"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xml:space="preserve">-        A Certificate of Conformity with Directive RoHS 2011/65/EU </w:t>
            </w:r>
            <w:r>
              <w:rPr>
                <w:rFonts w:ascii="Calibri" w:hAnsi="Calibri" w:cs="Calibri"/>
                <w:sz w:val="22"/>
                <w:szCs w:val="22"/>
              </w:rPr>
              <w:t xml:space="preserve">or equivalent </w:t>
            </w:r>
            <w:r w:rsidRPr="00AD4107">
              <w:rPr>
                <w:rFonts w:ascii="Calibri" w:hAnsi="Calibri" w:cs="Calibri"/>
                <w:sz w:val="22"/>
                <w:szCs w:val="22"/>
              </w:rPr>
              <w:t>shall be provided, issued by an accredited certification body, together with the corresponding test report.</w:t>
            </w:r>
          </w:p>
          <w:p w14:paraId="45F51A8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test report shall be provided confirming the controller’s compliance with the operational safety standard EN 62368</w:t>
            </w:r>
          </w:p>
          <w:p w14:paraId="6708869C"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lastRenderedPageBreak/>
              <w:t>-        A test report shall be provided regarding the Electromagnetic Compatibility Directive (EMC), confirming compliance with the following standards: EN 61000, EN 55032, EN 55035, EN 55011</w:t>
            </w:r>
          </w:p>
          <w:p w14:paraId="4D210462"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test report shall be provided for minimum protection rating IP66, issued by an accredited laboratory.</w:t>
            </w:r>
          </w:p>
          <w:p w14:paraId="06B20B28"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test report shall be provided for minimum protection rating IK09, issued by an accredited laboratory.</w:t>
            </w:r>
          </w:p>
          <w:p w14:paraId="7762B20E"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test report shall be provided for dry heat tests, in accordance with EN 60068-2-2:2008 or equivalent, issued by an accredited laboratory.</w:t>
            </w:r>
          </w:p>
          <w:p w14:paraId="2055A997" w14:textId="77777777" w:rsidR="00E30224" w:rsidRPr="00AD4107" w:rsidRDefault="00E30224" w:rsidP="00AD4107">
            <w:pPr>
              <w:spacing w:before="0" w:after="0"/>
              <w:rPr>
                <w:rFonts w:ascii="Calibri" w:hAnsi="Calibri" w:cs="Calibri"/>
                <w:sz w:val="22"/>
                <w:szCs w:val="22"/>
              </w:rPr>
            </w:pPr>
            <w:r w:rsidRPr="00AD4107">
              <w:rPr>
                <w:rFonts w:ascii="Calibri" w:hAnsi="Calibri" w:cs="Calibri"/>
                <w:sz w:val="22"/>
                <w:szCs w:val="22"/>
              </w:rPr>
              <w:t>-        A test report shall be provided for damp heat tests, in accordance with EN 60068-2-78:2013, issued by an accredited laboratory.</w:t>
            </w:r>
          </w:p>
          <w:p w14:paraId="54E7922F" w14:textId="1157CBEB" w:rsidR="00E30224" w:rsidRDefault="00E30224" w:rsidP="00AD4107">
            <w:pPr>
              <w:spacing w:before="0" w:after="0"/>
              <w:rPr>
                <w:rFonts w:ascii="Calibri" w:hAnsi="Calibri" w:cs="Calibri"/>
                <w:sz w:val="22"/>
                <w:szCs w:val="22"/>
              </w:rPr>
            </w:pPr>
            <w:r w:rsidRPr="00AD4107">
              <w:rPr>
                <w:rFonts w:ascii="Calibri" w:hAnsi="Calibri" w:cs="Calibri"/>
                <w:sz w:val="22"/>
                <w:szCs w:val="22"/>
              </w:rPr>
              <w:t>Warranty conditions: minimum 5 years.</w:t>
            </w:r>
          </w:p>
          <w:p w14:paraId="2DC3F7DE" w14:textId="3BD046C6" w:rsidR="00E30224" w:rsidRDefault="00E30224" w:rsidP="00AD4107">
            <w:pPr>
              <w:spacing w:before="0" w:after="0"/>
              <w:rPr>
                <w:rFonts w:ascii="Times New Roman" w:hAnsi="Times New Roman"/>
                <w:b/>
                <w:sz w:val="22"/>
                <w:szCs w:val="22"/>
              </w:rPr>
            </w:pPr>
          </w:p>
        </w:tc>
        <w:tc>
          <w:tcPr>
            <w:tcW w:w="1560" w:type="dxa"/>
            <w:shd w:val="clear" w:color="auto" w:fill="FFFFFF" w:themeFill="background1"/>
          </w:tcPr>
          <w:p w14:paraId="068EAA83" w14:textId="3C9F7455"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130 pcs</w:t>
            </w:r>
          </w:p>
        </w:tc>
      </w:tr>
      <w:tr w:rsidR="00E30224" w:rsidRPr="00034B1D" w14:paraId="3387ED99" w14:textId="77777777" w:rsidTr="000511DF">
        <w:trPr>
          <w:cantSplit/>
          <w:trHeight w:val="879"/>
          <w:tblHeader/>
        </w:trPr>
        <w:tc>
          <w:tcPr>
            <w:tcW w:w="738" w:type="dxa"/>
            <w:shd w:val="clear" w:color="auto" w:fill="FFFFFF" w:themeFill="background1"/>
          </w:tcPr>
          <w:p w14:paraId="67192AA0" w14:textId="6C51B277" w:rsidR="00E30224" w:rsidRDefault="00E30224" w:rsidP="00AD4107">
            <w:pPr>
              <w:jc w:val="center"/>
              <w:rPr>
                <w:rFonts w:ascii="Times New Roman" w:hAnsi="Times New Roman"/>
                <w:b/>
                <w:sz w:val="22"/>
                <w:szCs w:val="22"/>
              </w:rPr>
            </w:pPr>
            <w:r>
              <w:rPr>
                <w:rFonts w:ascii="Times New Roman" w:hAnsi="Times New Roman"/>
                <w:b/>
                <w:sz w:val="22"/>
                <w:szCs w:val="22"/>
              </w:rPr>
              <w:lastRenderedPageBreak/>
              <w:t>3</w:t>
            </w:r>
          </w:p>
        </w:tc>
        <w:tc>
          <w:tcPr>
            <w:tcW w:w="10489" w:type="dxa"/>
            <w:tcBorders>
              <w:top w:val="nil"/>
              <w:left w:val="single" w:sz="4" w:space="0" w:color="auto"/>
              <w:bottom w:val="single" w:sz="4" w:space="0" w:color="auto"/>
              <w:right w:val="single" w:sz="4" w:space="0" w:color="auto"/>
            </w:tcBorders>
            <w:shd w:val="clear" w:color="auto" w:fill="auto"/>
            <w:vAlign w:val="bottom"/>
          </w:tcPr>
          <w:p w14:paraId="25DF3BDB" w14:textId="77777777" w:rsidR="00E30224" w:rsidRPr="00A97024" w:rsidRDefault="00E30224" w:rsidP="00AD4107">
            <w:pPr>
              <w:spacing w:before="0" w:after="0"/>
              <w:rPr>
                <w:rFonts w:ascii="Calibri" w:hAnsi="Calibri" w:cs="Calibri"/>
                <w:b/>
                <w:sz w:val="22"/>
                <w:szCs w:val="22"/>
              </w:rPr>
            </w:pPr>
            <w:r w:rsidRPr="00A97024">
              <w:rPr>
                <w:rFonts w:ascii="Calibri" w:hAnsi="Calibri" w:cs="Calibri"/>
                <w:b/>
                <w:sz w:val="22"/>
                <w:szCs w:val="22"/>
              </w:rPr>
              <w:t>Smart fuse box</w:t>
            </w:r>
          </w:p>
          <w:p w14:paraId="4EF2AEDE" w14:textId="77777777" w:rsidR="00E30224" w:rsidRPr="00A97024" w:rsidRDefault="00E30224" w:rsidP="00AD4107">
            <w:pPr>
              <w:spacing w:before="0" w:after="0"/>
              <w:rPr>
                <w:rFonts w:ascii="Times New Roman" w:hAnsi="Times New Roman"/>
                <w:sz w:val="22"/>
                <w:szCs w:val="22"/>
              </w:rPr>
            </w:pPr>
          </w:p>
          <w:p w14:paraId="0EBD7A77"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Minimum Technical Specifications for Smart Lighting Cabinet</w:t>
            </w:r>
          </w:p>
          <w:p w14:paraId="160FDFCE"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Scope of use: remote control and monitoring of the public lighting system</w:t>
            </w:r>
          </w:p>
          <w:p w14:paraId="7A099AA1"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Nominal supply voltage: 400 V AC ± 10%</w:t>
            </w:r>
          </w:p>
          <w:p w14:paraId="5D7E068D"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Nominal frequency: 50 Hz</w:t>
            </w:r>
          </w:p>
          <w:p w14:paraId="46CE3700"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Input current: maximum 63 A/line</w:t>
            </w:r>
          </w:p>
          <w:p w14:paraId="7020C46D"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Nominal output voltage: 230/400 V AC ± 10%</w:t>
            </w:r>
          </w:p>
          <w:p w14:paraId="341C8A1A"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Output current: maximum 32 A/line/output</w:t>
            </w:r>
          </w:p>
          <w:p w14:paraId="45EACEB4"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Number of output circuits: minimum 3</w:t>
            </w:r>
          </w:p>
          <w:p w14:paraId="5C089F43"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Control voltage: 230 V AC, 12 V DC</w:t>
            </w:r>
          </w:p>
          <w:p w14:paraId="51D2BF4E"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Duty cycle: 100% (24 h/day, 7 days/week)</w:t>
            </w:r>
          </w:p>
          <w:p w14:paraId="1D01F7BE"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Ingress protection rating provided by the enclosure: minimum IP66</w:t>
            </w:r>
          </w:p>
          <w:p w14:paraId="6F89F6C8"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Impact protection rating: IK10</w:t>
            </w:r>
          </w:p>
          <w:p w14:paraId="1ACD50CB"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Operating temperature range: minimum -25 … +50°C</w:t>
            </w:r>
          </w:p>
          <w:p w14:paraId="51A13238"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Enclosure type: metallic</w:t>
            </w:r>
          </w:p>
          <w:p w14:paraId="30106A35"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Communication with CMS: technologies that do not generate data transmission costs during the entire lifetime of the equipment: long-range free radio frequency communication within the 863÷873 MHz band.</w:t>
            </w:r>
          </w:p>
          <w:p w14:paraId="00C74142"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Communication with luminaires: technologies that do not generate data transmission costs during the entire lifetime of the equipment: technology using power lines or long-range free radio frequency communication within the 863÷873 MHz band.</w:t>
            </w:r>
          </w:p>
          <w:p w14:paraId="771F37D2"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Encrypted communication with both the CMS and the luminaires, minimum AES 128.</w:t>
            </w:r>
          </w:p>
          <w:p w14:paraId="03AD71FF"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Telemanagement equipment for monitoring and control of the lighting system and communication with the CMS (Central Management System – the central server of the telemanagement system)</w:t>
            </w:r>
          </w:p>
          <w:p w14:paraId="2FFB08A6"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GPS localization device</w:t>
            </w:r>
          </w:p>
          <w:p w14:paraId="4C8786F2"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light sensor (twilight sensor) and an astronomical time switch for autonomous operation</w:t>
            </w:r>
          </w:p>
          <w:p w14:paraId="0650C610"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tamper sensor for detecting unauthorized interventions and theft</w:t>
            </w:r>
          </w:p>
          <w:p w14:paraId="63CB069D"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device for measuring active and reactive energy on the luminaire supply lines</w:t>
            </w:r>
          </w:p>
          <w:p w14:paraId="7EC994B7"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tilt and impact sensor</w:t>
            </w:r>
          </w:p>
          <w:p w14:paraId="165B2EF6"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backup battery allowing autonomous operation for at least 72 hours without power supply from the central grid</w:t>
            </w:r>
          </w:p>
          <w:p w14:paraId="43255E38"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equipment shall be capable of operating autonomously in case of communication loss with the CMS</w:t>
            </w:r>
          </w:p>
          <w:p w14:paraId="0B9C75CB"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equipment shall have at least the following functionalities:</w:t>
            </w:r>
          </w:p>
          <w:p w14:paraId="0C5FB25C"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Reporting to the CMS the active and reactive energy consumption at the lighting cabinet level and for each supply line</w:t>
            </w:r>
          </w:p>
          <w:p w14:paraId="4E4A1D15"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lastRenderedPageBreak/>
              <w:t>Diagnosing and reporting to the CMS the status of contactors by measuring the difference between the input voltage of the contactor and the output voltage towards the luminaire supply line</w:t>
            </w:r>
          </w:p>
          <w:p w14:paraId="0C4A882C"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Diagnosing and alerting for exceeding operational parameters (under/overvoltage, under/overcurrent)</w:t>
            </w:r>
          </w:p>
          <w:p w14:paraId="2256B5C9"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Collecting information from luminaires and transmitting it to the CMS</w:t>
            </w:r>
          </w:p>
          <w:p w14:paraId="7388A387"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Transmitting commands from the CMS to the luminaires, including automated operating scenarios</w:t>
            </w:r>
          </w:p>
          <w:p w14:paraId="5BF66522"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Local interrogation by scanning the QR code using the mobile telemanagement application</w:t>
            </w:r>
          </w:p>
          <w:p w14:paraId="1692A332"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Reporting to the CMS unauthorized removal/change of equipment position</w:t>
            </w:r>
          </w:p>
          <w:p w14:paraId="128B607A"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Reporting to the CMS changes in pole position (traffic accident, deviation from vertical)</w:t>
            </w:r>
          </w:p>
          <w:p w14:paraId="0800DB5A"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Reporting to the CMS unauthorized or negligent intervention (opening or maintaining the equipment door open)</w:t>
            </w:r>
          </w:p>
          <w:p w14:paraId="23EBB38F"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When querying the equipment through the telemanagement application, at least the following parameters shall be displayed:</w:t>
            </w:r>
          </w:p>
          <w:p w14:paraId="245440B4"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Status of the switching point (ON/OFF, ACTIVE/INACTIVE, etc.)</w:t>
            </w:r>
          </w:p>
          <w:p w14:paraId="4F43055E"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Status and quality of communication with the CMS</w:t>
            </w:r>
          </w:p>
          <w:p w14:paraId="5931C808"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Diagnosis of the equipment’s internal components and alerting their failure (contactors, power fuses, etc.)</w:t>
            </w:r>
          </w:p>
          <w:p w14:paraId="65D3AF6C"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Internal temperature of the equipment</w:t>
            </w:r>
          </w:p>
          <w:p w14:paraId="04FDBE3F"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Number of operating hours of the equipment for each supply line</w:t>
            </w:r>
          </w:p>
          <w:p w14:paraId="15781B9B"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Electrical operating parameters (frequency, power factor, voltage, active/reactive/apparent power, current) for the entire equipment and for each supply line</w:t>
            </w:r>
          </w:p>
          <w:p w14:paraId="3BC7BCEF"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Status and voltage of the backup battery</w:t>
            </w:r>
          </w:p>
          <w:p w14:paraId="78A7FC6E"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Power source at the time of query</w:t>
            </w:r>
          </w:p>
          <w:p w14:paraId="5F8BFF78"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Equipment location on the map via GPS positioning</w:t>
            </w:r>
          </w:p>
          <w:p w14:paraId="18D49402"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External illumination level, using information from the photocell</w:t>
            </w:r>
          </w:p>
          <w:p w14:paraId="2E3EDC68"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lighting cabinet shall be equipped with a touchscreen display allowing the reading of supply and energy consumption parameters for each supply line, as well as the control (switching on and off) of each supply line, in situations where the user does not have temporary or permanent access to the telemanagement application.</w:t>
            </w:r>
          </w:p>
          <w:p w14:paraId="3C9A46CA"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lighting cabinet shall have a QR code permanently marked (engraved, stamped, or by any other method ensuring readability throughout the equipment’s lifetime), which can be queried using the mobile telemanagement application even when the equipment is not powered.</w:t>
            </w:r>
          </w:p>
          <w:p w14:paraId="059A9864"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For the smart lighting cabinet, documentation shall be provided to certify the equipment’s compliance with the minimum quality and performance standards. The following documents shall be submitted:</w:t>
            </w:r>
          </w:p>
          <w:p w14:paraId="16D4E21D"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A Certificate of Conformity shall be provided for the smart lighting cabinet equipped with a telemanagement system, in accordance with the essential directives, confirming compliance with the following standards: EN 61439, EN 60068, EN 60529, EN 62262 issued by an accredited certification body in accordance with EN ISO/IEC 17065:2013, together with the corresponding test report.</w:t>
            </w:r>
          </w:p>
          <w:p w14:paraId="7FF32555"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The smart lighting cabinet shall be manufactured under the supervision of an accredited body. A license for the use of the conformity mark, issued by an accredited body in accordance with EN ISO/IEC 17065:2013, which performs production control, shall be provided.</w:t>
            </w:r>
          </w:p>
          <w:p w14:paraId="2DEC33ED"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lastRenderedPageBreak/>
              <w:t>A test report shall be provided for the smart lighting cabinet equipped with a telemanagement system, confirming protection rating IP66, issued by an accredited laboratory.</w:t>
            </w:r>
          </w:p>
          <w:p w14:paraId="5990E349"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A test report shall be provided for the smart lighting cabinet equipped with a telemanagement system, confirming protection rating IK10, issued by an accredited laboratory.</w:t>
            </w:r>
          </w:p>
          <w:p w14:paraId="266C5FB5" w14:textId="77777777"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A test report shall be provided for the smart lighting cabinet equipped with a telemanagement system, for dry heat tests, in accordance with EN 60068-2-2:2008, issued by an accredited laboratory.</w:t>
            </w:r>
          </w:p>
          <w:p w14:paraId="4B853D00" w14:textId="26A063B8" w:rsidR="00E30224" w:rsidRPr="00A97024" w:rsidRDefault="00E30224" w:rsidP="00A97024">
            <w:pPr>
              <w:spacing w:before="0" w:after="0"/>
              <w:rPr>
                <w:rFonts w:ascii="Times New Roman" w:hAnsi="Times New Roman"/>
                <w:sz w:val="22"/>
                <w:szCs w:val="22"/>
              </w:rPr>
            </w:pPr>
            <w:r w:rsidRPr="00A97024">
              <w:rPr>
                <w:rFonts w:ascii="Times New Roman" w:hAnsi="Times New Roman"/>
                <w:sz w:val="22"/>
                <w:szCs w:val="22"/>
              </w:rPr>
              <w:t>Warranty conditions: minimum 5 years.</w:t>
            </w:r>
          </w:p>
        </w:tc>
        <w:tc>
          <w:tcPr>
            <w:tcW w:w="1560" w:type="dxa"/>
            <w:shd w:val="clear" w:color="auto" w:fill="FFFFFF" w:themeFill="background1"/>
          </w:tcPr>
          <w:p w14:paraId="12C94F27" w14:textId="47325142"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4 pcs</w:t>
            </w:r>
          </w:p>
        </w:tc>
      </w:tr>
      <w:tr w:rsidR="00E30224" w:rsidRPr="00034B1D" w14:paraId="6FD8801C" w14:textId="77777777" w:rsidTr="000511DF">
        <w:trPr>
          <w:cantSplit/>
          <w:trHeight w:val="879"/>
          <w:tblHeader/>
        </w:trPr>
        <w:tc>
          <w:tcPr>
            <w:tcW w:w="738" w:type="dxa"/>
            <w:shd w:val="clear" w:color="auto" w:fill="FFFFFF" w:themeFill="background1"/>
          </w:tcPr>
          <w:p w14:paraId="75530F7C" w14:textId="15385ED8" w:rsidR="00E30224" w:rsidRDefault="00E30224" w:rsidP="00AD4107">
            <w:pPr>
              <w:jc w:val="center"/>
              <w:rPr>
                <w:rFonts w:ascii="Times New Roman" w:hAnsi="Times New Roman"/>
                <w:b/>
                <w:sz w:val="22"/>
                <w:szCs w:val="22"/>
              </w:rPr>
            </w:pPr>
            <w:r>
              <w:rPr>
                <w:rFonts w:ascii="Times New Roman" w:hAnsi="Times New Roman"/>
                <w:b/>
                <w:sz w:val="22"/>
                <w:szCs w:val="22"/>
              </w:rPr>
              <w:lastRenderedPageBreak/>
              <w:t>4</w:t>
            </w:r>
          </w:p>
        </w:tc>
        <w:tc>
          <w:tcPr>
            <w:tcW w:w="10489" w:type="dxa"/>
            <w:tcBorders>
              <w:top w:val="nil"/>
              <w:left w:val="single" w:sz="4" w:space="0" w:color="auto"/>
              <w:bottom w:val="single" w:sz="4" w:space="0" w:color="auto"/>
              <w:right w:val="single" w:sz="4" w:space="0" w:color="auto"/>
            </w:tcBorders>
            <w:shd w:val="clear" w:color="auto" w:fill="auto"/>
            <w:vAlign w:val="bottom"/>
          </w:tcPr>
          <w:p w14:paraId="155C4C89" w14:textId="77777777" w:rsidR="00E30224" w:rsidRPr="00664062" w:rsidRDefault="00E30224" w:rsidP="00AD4107">
            <w:pPr>
              <w:spacing w:before="0" w:after="0"/>
              <w:rPr>
                <w:rFonts w:ascii="Calibri" w:hAnsi="Calibri" w:cs="Calibri"/>
                <w:b/>
                <w:sz w:val="22"/>
                <w:szCs w:val="22"/>
              </w:rPr>
            </w:pPr>
            <w:r w:rsidRPr="00664062">
              <w:rPr>
                <w:rFonts w:ascii="Calibri" w:hAnsi="Calibri" w:cs="Calibri"/>
                <w:b/>
                <w:sz w:val="22"/>
                <w:szCs w:val="22"/>
              </w:rPr>
              <w:t>Pedestrian crossing solution 70-75 W</w:t>
            </w:r>
          </w:p>
          <w:p w14:paraId="06B44D11" w14:textId="77777777" w:rsidR="00E30224" w:rsidRPr="00664062" w:rsidRDefault="00E30224" w:rsidP="00AD4107">
            <w:pPr>
              <w:spacing w:before="0" w:after="0"/>
              <w:rPr>
                <w:rFonts w:ascii="Times New Roman" w:hAnsi="Times New Roman"/>
                <w:sz w:val="22"/>
                <w:szCs w:val="22"/>
              </w:rPr>
            </w:pPr>
          </w:p>
          <w:p w14:paraId="4EB7E61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Minimum Technical Specifications - Warning and supplementary lighting system for pedestrian crossings</w:t>
            </w:r>
          </w:p>
          <w:p w14:paraId="00026CC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consists of the following components:</w:t>
            </w:r>
          </w:p>
          <w:p w14:paraId="7814BEA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1 LED luminaire with installed power of 70–75 W</w:t>
            </w:r>
          </w:p>
          <w:p w14:paraId="4EE2DFC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1 Indicator with additional warning light (blinkers)</w:t>
            </w:r>
          </w:p>
          <w:p w14:paraId="70AF346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1 Sensor for detecting approaching vehicles and for warning in adverse weather conditions</w:t>
            </w:r>
          </w:p>
          <w:p w14:paraId="0C7A10DD" w14:textId="74B91D5A"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xml:space="preserve">1 RADAR </w:t>
            </w:r>
            <w:r>
              <w:rPr>
                <w:rFonts w:ascii="Times New Roman" w:hAnsi="Times New Roman"/>
                <w:sz w:val="22"/>
                <w:szCs w:val="22"/>
              </w:rPr>
              <w:t xml:space="preserve">or equivalent </w:t>
            </w:r>
            <w:r w:rsidRPr="00664062">
              <w:rPr>
                <w:rFonts w:ascii="Times New Roman" w:hAnsi="Times New Roman"/>
                <w:sz w:val="22"/>
                <w:szCs w:val="22"/>
              </w:rPr>
              <w:t>sensor for detecting pedestrians approaching the crosswalk or engaged in crossing the street</w:t>
            </w:r>
          </w:p>
          <w:p w14:paraId="41E59FAA" w14:textId="77777777" w:rsidR="00E30224" w:rsidRPr="00664062" w:rsidRDefault="00E30224" w:rsidP="00664062">
            <w:pPr>
              <w:spacing w:before="0" w:after="0"/>
              <w:rPr>
                <w:rFonts w:ascii="Times New Roman" w:hAnsi="Times New Roman"/>
                <w:sz w:val="22"/>
                <w:szCs w:val="22"/>
              </w:rPr>
            </w:pPr>
          </w:p>
          <w:p w14:paraId="212B0B2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LED Luminaire</w:t>
            </w:r>
          </w:p>
          <w:p w14:paraId="0B56F10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Nominal supply voltage: 230 V AC ± 10%;</w:t>
            </w:r>
          </w:p>
          <w:p w14:paraId="2169F6B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Nominal frequency: 50 Hz;</w:t>
            </w:r>
          </w:p>
          <w:p w14:paraId="792B459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Electrical insulation class: II;</w:t>
            </w:r>
          </w:p>
          <w:p w14:paraId="0C18992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Power factor: ≥0.95;</w:t>
            </w:r>
          </w:p>
          <w:p w14:paraId="26B8401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Ingress protection rating: minimum IP66;</w:t>
            </w:r>
          </w:p>
          <w:p w14:paraId="0580754D"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Impact resistance rating: minimum IK09;</w:t>
            </w:r>
          </w:p>
          <w:p w14:paraId="2C20B98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Certified operating temperature range: minimum -25 … +55°C;</w:t>
            </w:r>
          </w:p>
          <w:p w14:paraId="7E795BF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Installed power: minimum 70W and maximum 75W – in non-dimmed operating mode (100%);</w:t>
            </w:r>
          </w:p>
          <w:p w14:paraId="10CAAF6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Certified total luminous flux: minimum 13500 Lm</w:t>
            </w:r>
          </w:p>
          <w:p w14:paraId="4AB71E8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Lifetime: minimum 100,000 hours, L90B10;</w:t>
            </w:r>
          </w:p>
          <w:p w14:paraId="6E1B691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Asymmetrical distribution, with isolated and concentrated illumination of the pedestrian crossing area</w:t>
            </w:r>
          </w:p>
          <w:p w14:paraId="2C9BE38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luminaire shall have the following components:</w:t>
            </w:r>
          </w:p>
          <w:p w14:paraId="7374D78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Housing made of die-cast aluminum;</w:t>
            </w:r>
          </w:p>
          <w:p w14:paraId="647E6C2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Electrical compartment cover provided with a device to maintain the “Open” position during maintenance works;</w:t>
            </w:r>
          </w:p>
          <w:p w14:paraId="610800E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Optical compartment equipped with flat, clear, tempered glass diffuser;</w:t>
            </w:r>
          </w:p>
          <w:p w14:paraId="0B16F3D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Electrical accessories compartment and optical compartment shall be separated, in order to avoid dust ingress/soiling of the optical compartment during interventions in the electrical compartment;</w:t>
            </w:r>
          </w:p>
          <w:p w14:paraId="0A9422E5"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Thermal management shall be achieved without the use of external fins or cut-outs (to avoid dust and leaf accumulation);</w:t>
            </w:r>
          </w:p>
          <w:p w14:paraId="700B64B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Equipped with built-in protection against lightning and surge voltage, minimum 10 kV, for all electronic components integrated into the luminaire. The protection device shall be a separate component from the driver and replaceable in case of failure;</w:t>
            </w:r>
          </w:p>
          <w:p w14:paraId="00246D5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Equipped with a bayonet-type or similar connector to allow automatic disconnection of power supply when the electrical compartment is opened;</w:t>
            </w:r>
          </w:p>
          <w:p w14:paraId="1082A15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lastRenderedPageBreak/>
              <w:t>The luminaire shall have an engraved, stamped, or otherwise permanently marked QR code, ensuring readability throughout its entire service life. Proof of durability of the QR code under real operating conditions shall be provided.</w:t>
            </w:r>
          </w:p>
          <w:p w14:paraId="7E74ED3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When scanning the QR code using a dedicated mobile application provided by the manufacturer, the user shall be directed to essential information regarding the luminaire, including at least the following informations:</w:t>
            </w:r>
          </w:p>
          <w:p w14:paraId="66BE027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Product name;</w:t>
            </w:r>
          </w:p>
          <w:p w14:paraId="2270D82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Product code;</w:t>
            </w:r>
          </w:p>
          <w:p w14:paraId="5E21635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Nominal power;</w:t>
            </w:r>
          </w:p>
          <w:p w14:paraId="41EC5D7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Luminous flux;</w:t>
            </w:r>
          </w:p>
          <w:p w14:paraId="23CA70C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Luminaire color;</w:t>
            </w:r>
          </w:p>
          <w:p w14:paraId="285648C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Light color temperature;</w:t>
            </w:r>
          </w:p>
          <w:p w14:paraId="1131FD9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Color rendering index;</w:t>
            </w:r>
          </w:p>
          <w:p w14:paraId="45DB404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Type of light distribution;</w:t>
            </w:r>
          </w:p>
          <w:p w14:paraId="073DF89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Number of LEDs;</w:t>
            </w:r>
          </w:p>
          <w:p w14:paraId="6F76FBB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Insulation class;</w:t>
            </w:r>
          </w:p>
          <w:p w14:paraId="42A49305"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Power factor;</w:t>
            </w:r>
          </w:p>
          <w:p w14:paraId="3EA90F5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Production date;</w:t>
            </w:r>
          </w:p>
          <w:p w14:paraId="76BE655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IP protection rating;</w:t>
            </w:r>
          </w:p>
          <w:p w14:paraId="01432B5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IK impact rating;</w:t>
            </w:r>
          </w:p>
          <w:p w14:paraId="08E2E6B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Weight;</w:t>
            </w:r>
          </w:p>
          <w:p w14:paraId="03B9340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LED type;</w:t>
            </w:r>
          </w:p>
          <w:p w14:paraId="730E9F9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Permissible mounting bracket size Φ;</w:t>
            </w:r>
          </w:p>
          <w:p w14:paraId="130D434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Driver type;</w:t>
            </w:r>
          </w:p>
          <w:p w14:paraId="7EDACDB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Control option;</w:t>
            </w:r>
          </w:p>
          <w:p w14:paraId="2B13A86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Telemanagement options;</w:t>
            </w:r>
          </w:p>
          <w:p w14:paraId="2C310C4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Ordering codes for spare parts: driver, LED module, etc.</w:t>
            </w:r>
          </w:p>
          <w:p w14:paraId="70B0DFD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Driver settings:</w:t>
            </w:r>
          </w:p>
          <w:p w14:paraId="4C8882CA" w14:textId="77777777" w:rsidR="00E30224" w:rsidRPr="00664062" w:rsidRDefault="00E30224" w:rsidP="00664062">
            <w:pPr>
              <w:spacing w:before="0" w:after="0"/>
              <w:rPr>
                <w:rFonts w:ascii="Times New Roman" w:hAnsi="Times New Roman"/>
                <w:sz w:val="22"/>
                <w:szCs w:val="22"/>
              </w:rPr>
            </w:pPr>
          </w:p>
          <w:p w14:paraId="2C0E5C1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Dimming range;</w:t>
            </w:r>
          </w:p>
          <w:p w14:paraId="3DEEEC7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Dimming program;</w:t>
            </w:r>
          </w:p>
          <w:p w14:paraId="11F2677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Operating current;</w:t>
            </w:r>
          </w:p>
          <w:p w14:paraId="1B78696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CLO (Constant Light Output).</w:t>
            </w:r>
          </w:p>
          <w:p w14:paraId="75710D40" w14:textId="77777777" w:rsidR="00E30224" w:rsidRPr="00664062" w:rsidRDefault="00E30224" w:rsidP="00664062">
            <w:pPr>
              <w:spacing w:before="0" w:after="0"/>
              <w:rPr>
                <w:rFonts w:ascii="Times New Roman" w:hAnsi="Times New Roman"/>
                <w:sz w:val="22"/>
                <w:szCs w:val="22"/>
              </w:rPr>
            </w:pPr>
          </w:p>
          <w:p w14:paraId="0D16593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user shall be able to add additional information regarding equipment identification and service history, such as:</w:t>
            </w:r>
          </w:p>
          <w:p w14:paraId="2D6994A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Installation location (references, pole number, etc.);</w:t>
            </w:r>
          </w:p>
          <w:p w14:paraId="4679C12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Maintenance and service operations history.</w:t>
            </w:r>
          </w:p>
          <w:p w14:paraId="47F41597" w14:textId="77777777" w:rsidR="00E30224" w:rsidRPr="00664062" w:rsidRDefault="00E30224" w:rsidP="00664062">
            <w:pPr>
              <w:spacing w:before="0" w:after="0"/>
              <w:rPr>
                <w:rFonts w:ascii="Times New Roman" w:hAnsi="Times New Roman"/>
                <w:sz w:val="22"/>
                <w:szCs w:val="22"/>
              </w:rPr>
            </w:pPr>
          </w:p>
          <w:p w14:paraId="79ED179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Access to this information shall be protected by authentication with a predefined username and password.</w:t>
            </w:r>
          </w:p>
          <w:p w14:paraId="17AE347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lastRenderedPageBreak/>
              <w:t>The information may be exported for generating operation reports via application output in .csv, .xml, or other data file formats.</w:t>
            </w:r>
          </w:p>
          <w:p w14:paraId="111EF5B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Mobile applications shall be available from secure download environments in Play Store and App Store.</w:t>
            </w:r>
          </w:p>
          <w:p w14:paraId="6BC57ACB" w14:textId="77777777" w:rsidR="00E30224" w:rsidRPr="00664062" w:rsidRDefault="00E30224" w:rsidP="00664062">
            <w:pPr>
              <w:spacing w:before="0" w:after="0"/>
              <w:rPr>
                <w:rFonts w:ascii="Times New Roman" w:hAnsi="Times New Roman"/>
                <w:sz w:val="22"/>
                <w:szCs w:val="22"/>
              </w:rPr>
            </w:pPr>
          </w:p>
          <w:p w14:paraId="1204AD9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Equipped with LED light source with the following characteristics:</w:t>
            </w:r>
          </w:p>
          <w:p w14:paraId="5885413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Color temperature: Tc = 4000K ± 10%;</w:t>
            </w:r>
          </w:p>
          <w:p w14:paraId="0B23CB6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Color rendering index: Ra ≥70.</w:t>
            </w:r>
          </w:p>
          <w:p w14:paraId="773DE708" w14:textId="77777777" w:rsidR="00E30224" w:rsidRPr="00664062" w:rsidRDefault="00E30224" w:rsidP="00664062">
            <w:pPr>
              <w:spacing w:before="0" w:after="0"/>
              <w:rPr>
                <w:rFonts w:ascii="Times New Roman" w:hAnsi="Times New Roman"/>
                <w:sz w:val="22"/>
                <w:szCs w:val="22"/>
              </w:rPr>
            </w:pPr>
          </w:p>
          <w:p w14:paraId="1CD510D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programmable electronic ballast, compatible with the type of light source used, shall have at least the following functions:</w:t>
            </w:r>
          </w:p>
          <w:p w14:paraId="34F420E3" w14:textId="2A64A1BA"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xml:space="preserve">Communication capability with telemanagement modules via 0-10V / PWM / DALI / DALI-2 / D4i or </w:t>
            </w:r>
            <w:r>
              <w:rPr>
                <w:rFonts w:ascii="Times New Roman" w:hAnsi="Times New Roman"/>
                <w:sz w:val="22"/>
                <w:szCs w:val="22"/>
              </w:rPr>
              <w:t>equivalent</w:t>
            </w:r>
            <w:r w:rsidRPr="00664062">
              <w:rPr>
                <w:rFonts w:ascii="Times New Roman" w:hAnsi="Times New Roman"/>
                <w:sz w:val="22"/>
                <w:szCs w:val="22"/>
              </w:rPr>
              <w:t xml:space="preserve"> protocols.</w:t>
            </w:r>
          </w:p>
          <w:p w14:paraId="149E65F5" w14:textId="77777777" w:rsidR="00E30224" w:rsidRPr="00664062" w:rsidRDefault="00E30224" w:rsidP="00664062">
            <w:pPr>
              <w:spacing w:before="0" w:after="0"/>
              <w:rPr>
                <w:rFonts w:ascii="Times New Roman" w:hAnsi="Times New Roman"/>
                <w:sz w:val="22"/>
                <w:szCs w:val="22"/>
              </w:rPr>
            </w:pPr>
          </w:p>
          <w:p w14:paraId="1BBA120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Indicator</w:t>
            </w:r>
          </w:p>
          <w:p w14:paraId="4C52DFA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Construction material: Die-cast or stamped aluminum, finished with reflective foil marked with the symbol “pedestrian crossing”</w:t>
            </w:r>
          </w:p>
          <w:p w14:paraId="225AD13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2 flashers with orange or yellow light, minimum 125 mm, minimum 60 LEDs, and a minimum installed unit power of 2W</w:t>
            </w:r>
          </w:p>
          <w:p w14:paraId="11196375"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Equipped with a Li-Ion battery or similar, minimum 80 Wh, for continuous operation in case of power failure</w:t>
            </w:r>
          </w:p>
          <w:p w14:paraId="16093AA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Ingress protection rating: minimum IP66</w:t>
            </w:r>
          </w:p>
          <w:p w14:paraId="7B1ACBA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Impact resistance rating: minimum IK09</w:t>
            </w:r>
          </w:p>
          <w:p w14:paraId="4E0413C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Vehicle detection and environmental parameter sensor</w:t>
            </w:r>
          </w:p>
          <w:p w14:paraId="0D784743" w14:textId="30EC3599"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Mounted in a standardized NEMA/Zhaga socket or</w:t>
            </w:r>
            <w:r>
              <w:rPr>
                <w:rFonts w:ascii="Times New Roman" w:hAnsi="Times New Roman"/>
                <w:sz w:val="22"/>
                <w:szCs w:val="22"/>
              </w:rPr>
              <w:t xml:space="preserve"> equivalent</w:t>
            </w:r>
          </w:p>
          <w:p w14:paraId="5A529A1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Capable of detecting movement</w:t>
            </w:r>
          </w:p>
          <w:p w14:paraId="2DEF8DB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Equipped with at least the following types of sensors:</w:t>
            </w:r>
          </w:p>
          <w:p w14:paraId="5A1CD2B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motion sensor;</w:t>
            </w:r>
          </w:p>
          <w:p w14:paraId="1ECC8E8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tilt sensor;</w:t>
            </w:r>
          </w:p>
          <w:p w14:paraId="28846E9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impact sensor;</w:t>
            </w:r>
          </w:p>
          <w:p w14:paraId="7B9279E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temperature sensor;</w:t>
            </w:r>
          </w:p>
          <w:p w14:paraId="3D5A985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light sensor;</w:t>
            </w:r>
          </w:p>
          <w:p w14:paraId="5792EEC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fog sensor;</w:t>
            </w:r>
          </w:p>
          <w:p w14:paraId="3ADF832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rain sensor;</w:t>
            </w:r>
          </w:p>
          <w:p w14:paraId="2BB7BC8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snow sensor.</w:t>
            </w:r>
          </w:p>
          <w:p w14:paraId="42C91BF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Sensor configuration shall have the following functionalities:</w:t>
            </w:r>
          </w:p>
          <w:p w14:paraId="38432CD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Defining active detection zones (carriageway, sidewalks, etc.)</w:t>
            </w:r>
          </w:p>
          <w:p w14:paraId="041C514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Defining ignored detection zones (trees, cables, etc.)</w:t>
            </w:r>
          </w:p>
          <w:p w14:paraId="4D67FA5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Enabling or disabling one or more sensors depending on site constraints. For example, if the sensor is installed in a very noisy area (e.g., construction site or near a railway station), the noise sensor must be able to be disabled.</w:t>
            </w:r>
          </w:p>
          <w:p w14:paraId="28FB059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lastRenderedPageBreak/>
              <w:t>Setting reading and alert thresholds</w:t>
            </w:r>
          </w:p>
          <w:p w14:paraId="4112379D"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sensor shall transmit detected events for generating alerts regarding exceeding predefined indicators:</w:t>
            </w:r>
          </w:p>
          <w:p w14:paraId="72EC5FF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Alerts regarding environmental events (rain, snow, fog, etc.)</w:t>
            </w:r>
          </w:p>
          <w:p w14:paraId="712B8AE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Alerts regarding exceeding predefined background noise thresholds</w:t>
            </w:r>
          </w:p>
          <w:p w14:paraId="2E7DCFD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Alerts regarding exceeding predefined environmental thresholds</w:t>
            </w:r>
          </w:p>
          <w:p w14:paraId="2B9A221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sensor shall transmit detected events for generating statistical reports:</w:t>
            </w:r>
          </w:p>
          <w:p w14:paraId="5319FFA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Statistics on levels and periods affected by detected events</w:t>
            </w:r>
          </w:p>
          <w:p w14:paraId="27709D5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Statistics on traffic in detection zones (traffic volume, average speed, etc.)</w:t>
            </w:r>
          </w:p>
          <w:p w14:paraId="2650713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equipment may operate autonomously and thus can be used to control lighting based on the twilight sensor or for on-demand lighting applications, where the luminous flux increases when activity is detected, or it can transmit information to the telemanagement system platform.</w:t>
            </w:r>
          </w:p>
          <w:p w14:paraId="771317D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 accordance with standard EN 13201, under conditions of heavy fog, rain, or snowfall, the navigation task difficulty increases from easy to difficult or very difficult, which is why the sensor must override the preset dimming program.</w:t>
            </w:r>
          </w:p>
          <w:p w14:paraId="3285EE3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Pedestrian detection sensor</w:t>
            </w:r>
          </w:p>
          <w:p w14:paraId="57118C46" w14:textId="7953C5CC"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xml:space="preserve">Mounted in a standardized NEMA/Zhaga socket or </w:t>
            </w:r>
            <w:r>
              <w:rPr>
                <w:rFonts w:ascii="Times New Roman" w:hAnsi="Times New Roman"/>
                <w:sz w:val="22"/>
                <w:szCs w:val="22"/>
              </w:rPr>
              <w:t>equivalent</w:t>
            </w:r>
          </w:p>
          <w:p w14:paraId="573F4BC5" w14:textId="222F522E"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xml:space="preserve">Detection technology: Radar or </w:t>
            </w:r>
            <w:r>
              <w:rPr>
                <w:rFonts w:ascii="Times New Roman" w:hAnsi="Times New Roman"/>
                <w:sz w:val="22"/>
                <w:szCs w:val="22"/>
              </w:rPr>
              <w:t>equivalent</w:t>
            </w:r>
          </w:p>
          <w:p w14:paraId="324AA57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supplementary lighting and warning system shall be integrated into the public lighting telemanagement system, with the switching ON/OFF/dimming functions, as well as the monitoring and control functionalities, being carried out from the same graphical interface as the street lighting luminaires.</w:t>
            </w:r>
          </w:p>
          <w:p w14:paraId="74BA014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 demo account of the telemanagement application will be presented in order to verify the functionalities of the warning and supplementary lighting system.</w:t>
            </w:r>
          </w:p>
          <w:p w14:paraId="1ED0964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warning and supplementary lighting system for pedestrian crossings shall be certified to demonstrate compliance with the minimum technical specifications for quality and performance. The following documents shall be submitted:</w:t>
            </w:r>
          </w:p>
          <w:p w14:paraId="432106C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For the luminaires, the following technical documentation shall be provided to certify compliance with the minimum quality and performance requirements:</w:t>
            </w:r>
          </w:p>
          <w:p w14:paraId="650D6E2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ENEC certificate confirming compliance with the following standards: EN 60598, issued by an accredited certification body.</w:t>
            </w:r>
          </w:p>
          <w:p w14:paraId="4F47F66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ENEC Plus certificate confirming compliance with the following standards: EPRS 003, EN 62722-2-1:2016, EPRS 002:2025-04, EN IEC 62722-1:2022, issued by an accredited certification body.</w:t>
            </w:r>
          </w:p>
          <w:p w14:paraId="16C3DF2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Certificate of Conformity with Directive RoHS 2011/65/EU, issued by an accredited certification body, together with the corresponding test report.</w:t>
            </w:r>
          </w:p>
          <w:p w14:paraId="73539A1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Test report regarding the Low Voltage Directive (LVD) confirming compliance with the following standards: EN 60598-1, EN 60598-2-3, issued by an accredited laboratory.</w:t>
            </w:r>
          </w:p>
          <w:p w14:paraId="694AC7B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Test report for the assessment of blue light hazard for the luminaire, confirming compliance with standard IEC 62778, issued by an accredited laboratory.</w:t>
            </w:r>
          </w:p>
          <w:p w14:paraId="74DD427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lastRenderedPageBreak/>
              <w:t>-        Test report regarding the Electromagnetic Compatibility Directive (EMC) confirming compliance with the following standards: IEC 55015; EN 61000; EN 61547, issued by an accredited laboratory.</w:t>
            </w:r>
          </w:p>
          <w:p w14:paraId="674B16B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Test report for minimum protection rating IP66, issued by an accredited laboratory.</w:t>
            </w:r>
          </w:p>
          <w:p w14:paraId="46B405E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A test report shall be provided for minimum protection rating IK09, issued by an accredited laboratory</w:t>
            </w:r>
          </w:p>
          <w:p w14:paraId="0354814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A test report shall be provided for the verification of vibration resistance, issued by an accredited laboratory.</w:t>
            </w:r>
          </w:p>
          <w:p w14:paraId="5BF090B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A test report shall be provided for the determination of the aerodynamic coefficients specific to street luminaires by means of wind tunnel tests. The test shall be performed for at least 5 testing positions. The test shall be carried out under wind conditions of at least 188 km/h (52 m/s) in accordance with EN 60598.</w:t>
            </w:r>
          </w:p>
          <w:p w14:paraId="36ED2D2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 photometric test report shall be provided for the entire offered luminaire, for the offered installed power and configuration level, issued by an accredited laboratory. The report shall include the active power of the tested sample, luminous flux, luminous efficacy, power factor, and the polar coordinate distribution of the light emitted by the tested sample.</w:t>
            </w:r>
          </w:p>
          <w:p w14:paraId="43EA0C22" w14:textId="77777777" w:rsidR="00E30224" w:rsidRPr="00664062" w:rsidRDefault="00E30224" w:rsidP="00664062">
            <w:pPr>
              <w:spacing w:before="0" w:after="0"/>
              <w:rPr>
                <w:rFonts w:ascii="Times New Roman" w:hAnsi="Times New Roman"/>
                <w:sz w:val="22"/>
                <w:szCs w:val="22"/>
              </w:rPr>
            </w:pPr>
          </w:p>
          <w:p w14:paraId="04E03B7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For the Vehicle detection and environmental parameter sensor the following technical documentation shall be provided to certify compliance with the minimum quality and performance requirements:</w:t>
            </w:r>
          </w:p>
          <w:p w14:paraId="0E85FC44" w14:textId="2955DFCE"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 Certificate of Conformity confirming compliance with the following standards: EN 62368, EN 61000, EN 55032, EN 55011, EN 55035, EN 60068, EN 62262, EN 60529, issued by an accredited certification body in accordance with EN ISO/IEC 17065:2013.</w:t>
            </w:r>
          </w:p>
        </w:tc>
        <w:tc>
          <w:tcPr>
            <w:tcW w:w="1560" w:type="dxa"/>
            <w:shd w:val="clear" w:color="auto" w:fill="FFFFFF" w:themeFill="background1"/>
          </w:tcPr>
          <w:p w14:paraId="01817625" w14:textId="2EADCD89"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4 pcs</w:t>
            </w:r>
          </w:p>
        </w:tc>
      </w:tr>
      <w:tr w:rsidR="00E30224" w:rsidRPr="00034B1D" w14:paraId="4F6D9847" w14:textId="77777777" w:rsidTr="000511DF">
        <w:trPr>
          <w:cantSplit/>
          <w:trHeight w:val="879"/>
          <w:tblHeader/>
        </w:trPr>
        <w:tc>
          <w:tcPr>
            <w:tcW w:w="738" w:type="dxa"/>
            <w:shd w:val="clear" w:color="auto" w:fill="FFFFFF" w:themeFill="background1"/>
          </w:tcPr>
          <w:p w14:paraId="5897FEC6" w14:textId="2E9B2F41" w:rsidR="00E30224" w:rsidRDefault="00E30224" w:rsidP="00AD4107">
            <w:pPr>
              <w:jc w:val="center"/>
              <w:rPr>
                <w:rFonts w:ascii="Times New Roman" w:hAnsi="Times New Roman"/>
                <w:b/>
                <w:sz w:val="22"/>
                <w:szCs w:val="22"/>
              </w:rPr>
            </w:pPr>
            <w:r>
              <w:rPr>
                <w:rFonts w:ascii="Times New Roman" w:hAnsi="Times New Roman"/>
                <w:b/>
                <w:sz w:val="22"/>
                <w:szCs w:val="22"/>
              </w:rPr>
              <w:lastRenderedPageBreak/>
              <w:t>5</w:t>
            </w:r>
          </w:p>
        </w:tc>
        <w:tc>
          <w:tcPr>
            <w:tcW w:w="10489" w:type="dxa"/>
            <w:tcBorders>
              <w:top w:val="nil"/>
              <w:left w:val="single" w:sz="4" w:space="0" w:color="auto"/>
              <w:bottom w:val="single" w:sz="4" w:space="0" w:color="auto"/>
              <w:right w:val="single" w:sz="4" w:space="0" w:color="auto"/>
            </w:tcBorders>
            <w:shd w:val="clear" w:color="auto" w:fill="auto"/>
            <w:vAlign w:val="bottom"/>
          </w:tcPr>
          <w:p w14:paraId="514844B8" w14:textId="77777777" w:rsidR="00E30224" w:rsidRPr="00664062" w:rsidRDefault="00E30224" w:rsidP="00AD4107">
            <w:pPr>
              <w:spacing w:before="0" w:after="0"/>
              <w:rPr>
                <w:rFonts w:ascii="Calibri" w:hAnsi="Calibri" w:cs="Calibri"/>
                <w:b/>
                <w:sz w:val="22"/>
                <w:szCs w:val="22"/>
              </w:rPr>
            </w:pPr>
            <w:r w:rsidRPr="00664062">
              <w:rPr>
                <w:rFonts w:ascii="Calibri" w:hAnsi="Calibri" w:cs="Calibri"/>
                <w:b/>
                <w:sz w:val="22"/>
                <w:szCs w:val="22"/>
              </w:rPr>
              <w:t>Telemanagement software license</w:t>
            </w:r>
          </w:p>
          <w:p w14:paraId="63259058" w14:textId="77777777" w:rsidR="00E30224" w:rsidRPr="00664062" w:rsidRDefault="00E30224" w:rsidP="00AD4107">
            <w:pPr>
              <w:spacing w:before="0" w:after="0"/>
              <w:rPr>
                <w:rFonts w:ascii="Times New Roman" w:hAnsi="Times New Roman"/>
                <w:sz w:val="22"/>
                <w:szCs w:val="22"/>
              </w:rPr>
            </w:pPr>
          </w:p>
          <w:p w14:paraId="6892180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Minimum Technical Specifications for Telemanagement System</w:t>
            </w:r>
          </w:p>
          <w:p w14:paraId="47B110B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Through its components (hardware and software), the system has the capability to control, monitor, measure, and manage the operation of a municipality’s public lighting network under optimal parameters, regardless of its geographical location, the typology of the electricity supply network, or other local operating conditions of the public lighting system. It enables significant reductions in CO₂ emissions, electricity consumption, and operating costs, while at the same time improving the reliability of public lighting systems. The telemanagement system includes:</w:t>
            </w:r>
          </w:p>
          <w:p w14:paraId="6EDB61E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Telemanagement applications available in web browsers, accessible from any device with an integrated browser</w:t>
            </w:r>
          </w:p>
          <w:p w14:paraId="714876F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Telemanagement applications available for mobile terminals</w:t>
            </w:r>
          </w:p>
          <w:p w14:paraId="0408F90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Controllers for luminaires</w:t>
            </w:r>
          </w:p>
          <w:p w14:paraId="6745B7BD"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Smart lighting cabinets with telemanagement</w:t>
            </w:r>
          </w:p>
          <w:p w14:paraId="78A6AAB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Pedestrian crossing solutions with motion sensors</w:t>
            </w:r>
          </w:p>
          <w:p w14:paraId="2CF0459D"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telemanagement system is designed to remotely monitor and control both the lighting cabinets and the luminaires, either individually or in groups.</w:t>
            </w:r>
          </w:p>
          <w:p w14:paraId="18AB59C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CMS: Central Management System – the central server of the telemanagement system runs on a local server equipped with a control terminal, which does not generate monthly cloud subscription costs. Control of the lighting system shall be possible from the web browser application on the local terminal, even if the beneficiary’s internet service is temporarily unavailable.</w:t>
            </w:r>
          </w:p>
          <w:p w14:paraId="009ED9B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is available to users twenty-four (24) hours a day, seven (7) days a week.</w:t>
            </w:r>
          </w:p>
          <w:p w14:paraId="691224F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is connected to the internet to receive remote updates and to provide integration with mobile applications or remote control from other terminals, while being capable of communicating locally, without an internet connection, with equipment deployed in the field.</w:t>
            </w:r>
          </w:p>
          <w:p w14:paraId="782093A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is scalable and modular, allowing expansion with an unlimited number of devices controlled from the same platform. Each gateway or smart lighting cabinet with telemanagement shall be able to control an unlimited number of luminaires equipped with telemanagement controllers.</w:t>
            </w:r>
          </w:p>
          <w:p w14:paraId="14CE8D3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By controlling the lighting cabinets, the system is capable of switching ON/OFF conventional luminaires of any technology that are not equipped with telemanagement controllers.</w:t>
            </w:r>
          </w:p>
          <w:p w14:paraId="530C85D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is capable of creating multi-level accounts according to roles and responsibilities:</w:t>
            </w:r>
          </w:p>
          <w:p w14:paraId="22787E6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Administrator, with full access to all available functionalities</w:t>
            </w:r>
          </w:p>
          <w:p w14:paraId="0395E65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Operator, with access to monitoring, control, and statistical reporting functionalities</w:t>
            </w:r>
          </w:p>
          <w:p w14:paraId="28B2AF4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Maintenance technician, with access to troubleshooting and reporting functions</w:t>
            </w:r>
          </w:p>
          <w:p w14:paraId="69FA696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Observer, with access to reports on system functionality and energy savings</w:t>
            </w:r>
          </w:p>
          <w:p w14:paraId="46AA092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includes mechanisms for automatic synchronization of the CMS (Central Management Software) clock and the time zone with all field control devices, according to the geographical location of the site.</w:t>
            </w:r>
          </w:p>
          <w:p w14:paraId="042EFA1D"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lastRenderedPageBreak/>
              <w:t>The system allows setting operating scenarios at the luminaire level, luminaire group level, and lighting cabinet level. In case of communication loss with the server, the equipment shall automatically operate according to the last predefined scenario.</w:t>
            </w:r>
          </w:p>
          <w:p w14:paraId="193DDA3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be fully available in Montenegrin language:</w:t>
            </w:r>
          </w:p>
          <w:p w14:paraId="74E8515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Graphical interface: all menus, buttons, notifications, error messages, and labels shall be displayed in Montenegrin language.</w:t>
            </w:r>
          </w:p>
          <w:p w14:paraId="0F85FBC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Manuals and technical documentation: shall be provided in Montenegrin language, both in digital format and, if necessary, in printed format.</w:t>
            </w:r>
          </w:p>
          <w:p w14:paraId="2219EF7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Reports and alerts: all information generated by the system (including reports, alerts, and notifications) shall be written in Montenegrin language.</w:t>
            </w:r>
          </w:p>
          <w:p w14:paraId="58049C1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Messages and user instructions: any instruction displayed in the system shall be clear and accessible in Montenegrin language.</w:t>
            </w:r>
          </w:p>
          <w:p w14:paraId="43E4315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allows advanced filtering and searching for easy identification of equipment and locations, including at least:</w:t>
            </w:r>
          </w:p>
          <w:p w14:paraId="24457F1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Search/Filter by device ID</w:t>
            </w:r>
          </w:p>
          <w:p w14:paraId="19288C5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Search/Filter by device type</w:t>
            </w:r>
          </w:p>
          <w:p w14:paraId="439BAA6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Search/Filter by street name</w:t>
            </w:r>
          </w:p>
          <w:p w14:paraId="45E6483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Search/Filter by device group name</w:t>
            </w:r>
          </w:p>
          <w:p w14:paraId="2E6CD19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Search/Filter by user-defined zones</w:t>
            </w:r>
          </w:p>
          <w:p w14:paraId="1FB1CB3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SERVER: The local server shall be displayed on the telemanagement system map. When selecting the server from the map, the following essential information shall be displayed:</w:t>
            </w:r>
          </w:p>
          <w:p w14:paraId="02CD3D9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Current status</w:t>
            </w:r>
          </w:p>
          <w:p w14:paraId="16C0B06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Status and quality of communication</w:t>
            </w:r>
          </w:p>
          <w:p w14:paraId="793D5F5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Internet connection status</w:t>
            </w:r>
          </w:p>
          <w:p w14:paraId="427FE60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Location coordinates</w:t>
            </w:r>
          </w:p>
          <w:p w14:paraId="3FA938F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Available storage capacity at the time of query</w:t>
            </w:r>
          </w:p>
          <w:p w14:paraId="59FC51E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Processor load at the time of query</w:t>
            </w:r>
          </w:p>
          <w:p w14:paraId="3FDFA8E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Activity history, alerts, failures, and maintenance</w:t>
            </w:r>
          </w:p>
          <w:p w14:paraId="0260259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Cybersecurity alerts</w:t>
            </w:r>
          </w:p>
          <w:p w14:paraId="3D8E48F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From the telemanagement application, relevant documentation may be attached (installation manuals, brochures/technical sheets, service reports, etc.).</w:t>
            </w:r>
          </w:p>
          <w:p w14:paraId="1691763D"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LIGHTING CABINETS: When selecting a lighting cabinet on the map, the following essential information and command options shall be displayed:</w:t>
            </w:r>
          </w:p>
          <w:p w14:paraId="6571B21D"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Current status</w:t>
            </w:r>
          </w:p>
          <w:p w14:paraId="55CAE5F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Location coordinates</w:t>
            </w:r>
          </w:p>
          <w:p w14:paraId="63E50FF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Equipment level</w:t>
            </w:r>
          </w:p>
          <w:p w14:paraId="65A3664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Electrical parameters (frequency, power factor, voltage, active/reactive/apparent power, current)</w:t>
            </w:r>
          </w:p>
          <w:p w14:paraId="4896A36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Number of supply lines and number of devices powered from each line</w:t>
            </w:r>
          </w:p>
          <w:p w14:paraId="5608884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lastRenderedPageBreak/>
              <w:t>Active operating scenario</w:t>
            </w:r>
          </w:p>
          <w:p w14:paraId="2061EDE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Alerts and status parameters</w:t>
            </w:r>
          </w:p>
          <w:p w14:paraId="67F0A16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Query options and ON/OFF control of each supply line</w:t>
            </w:r>
          </w:p>
          <w:p w14:paraId="156C577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From the telemanagement application, relevant documentation may be attached (installation manuals, brochures/technical sheets, service reports, etc.).</w:t>
            </w:r>
          </w:p>
          <w:p w14:paraId="786342E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be capable of alerting unauthorized or negligent interventions (opening or leaving open the door of the telemanagement lighting cabinets).</w:t>
            </w:r>
          </w:p>
          <w:p w14:paraId="130B2C6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LUMINAIRES: When selecting a luminaire on the map, the supply line and lighting cabinet powering it, as well as its neighboring luminaires, shall be displayed. The following essential information about the luminaire shall be available:</w:t>
            </w:r>
          </w:p>
          <w:p w14:paraId="2EB34F26"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Current status</w:t>
            </w:r>
          </w:p>
          <w:p w14:paraId="2FF0359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Location coordinates</w:t>
            </w:r>
          </w:p>
          <w:p w14:paraId="2D44414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Equipment level</w:t>
            </w:r>
          </w:p>
          <w:p w14:paraId="2E8880A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Group to which the device belongs</w:t>
            </w:r>
          </w:p>
          <w:p w14:paraId="45BC744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Electrical parameters (frequency, power factor, voltage, active/reactive/apparent power, current)</w:t>
            </w:r>
          </w:p>
          <w:p w14:paraId="69C60AC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Number of supply lines and number of devices powered from each line</w:t>
            </w:r>
          </w:p>
          <w:p w14:paraId="6D97801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Active operating scenario</w:t>
            </w:r>
          </w:p>
          <w:p w14:paraId="681963A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Alerts and status parameters</w:t>
            </w:r>
          </w:p>
          <w:p w14:paraId="3111803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Query and control options for ON/OFF and dimming</w:t>
            </w:r>
          </w:p>
          <w:p w14:paraId="0771C4A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From the telemanagement application, relevant documentation may be attached (installation manuals, brochures/technical sheets, service reports, etc.).</w:t>
            </w:r>
          </w:p>
          <w:p w14:paraId="32923DB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Information about the status of luminaires, energy consumption, as well as failures, shall be continuously reported, recorded, and stored indefinitely in a database, together with the date, time, identifier, and geographical location of the luminaire or lighting cabinet.</w:t>
            </w:r>
          </w:p>
          <w:p w14:paraId="2F5689C5"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OPERATING PROGRAMS: The system allows the definition of a standard operating schedule at the system level, as well as the advance configuration of special days/periods with a different schedule than the standard one (e.g., Municipality/City/Town Days, Easter, Christmas, etc.).</w:t>
            </w:r>
          </w:p>
          <w:p w14:paraId="25F020D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By default, at the system level (applicable to the entire network), switching ON/OFF is performed according to the astronomical calendar valid for the reference day, with an optional margin of +/- applied to sunset/sunrise times (e.g., 30 minutes before sunset, 30 minutes after sunrise).</w:t>
            </w:r>
          </w:p>
          <w:p w14:paraId="082781A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 case of equipment failure, resulting in the permanent loss of operating schedule information, the astronomical clock and/or the photocell integrated in the lighting cabinets shall take control to switch luminaires ON and OFF, thereby avoiding a complete interruption of street lighting during the night.</w:t>
            </w:r>
          </w:p>
          <w:p w14:paraId="6EA60FC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xml:space="preserve">REPORTING: The system is capable of monitoring operating hours, the status of luminaires, and electronic control devices both for predictive maintenance purposes and for warranty compliance. The system shall automatically generate a report with the following: the number of operating hours for each luminaire (identified by GPS coordinates), an average of operating hours, the dimming level at the time of query, the programmed dimming level </w:t>
            </w:r>
            <w:r w:rsidRPr="00664062">
              <w:rPr>
                <w:rFonts w:ascii="Times New Roman" w:hAnsi="Times New Roman"/>
                <w:sz w:val="22"/>
                <w:szCs w:val="22"/>
              </w:rPr>
              <w:lastRenderedPageBreak/>
              <w:t>(at the time of query), the total energy consumed by the luminaire over its entire operating life, the GPS coordinates of the luminaire, and the power consumed at the time of query (W), throughout the project duration.</w:t>
            </w:r>
          </w:p>
          <w:p w14:paraId="73B827E5"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Energy consumption data shall be available either over configurable time intervals or on demand, at the level of the system, locality, zones/device groups, and individual devices. In addition, the system shall be capable of generating comparative graphical representations of energy consumption.</w:t>
            </w:r>
          </w:p>
          <w:p w14:paraId="7ADF7DE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the generation of statistics and reports from stored data on energy consumption from other consumers integrated into the system (e.g., festive lighting, architectural lighting, etc.).</w:t>
            </w:r>
          </w:p>
          <w:p w14:paraId="6AED7DD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the user to define the type of report to be generated (energy consumption, faults), as well as the relevant time intervals or periods to be compared.</w:t>
            </w:r>
          </w:p>
          <w:p w14:paraId="3401EEE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Energy consumption data shall be available either over configurable time intervals or on demand, at the level of the system, locality, zones/device groups, and individual devices. In addition, the system shall be capable of generating comparative graphical representations of energy consumption.</w:t>
            </w:r>
          </w:p>
          <w:p w14:paraId="49381F7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the generation of statistics and reports from stored data on energy consumption from other consumers integrated into the system (e.g., festive lighting, architectural lighting, etc.).</w:t>
            </w:r>
          </w:p>
          <w:p w14:paraId="091BED8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the generation of statistics and reports from stored data on faults generated by the system’s devices.</w:t>
            </w:r>
          </w:p>
          <w:p w14:paraId="0F73161A"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the user to define the type of report to be generated (energy consumption, faults), as well as the relevant time intervals or periods to be compared.</w:t>
            </w:r>
          </w:p>
          <w:p w14:paraId="4D23ABAD"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ALERTING: The system shall be capable of identifying luminaire faults and anomalies, as well as anomalies in the power supply.</w:t>
            </w:r>
          </w:p>
          <w:p w14:paraId="6C7DE995"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maintain a history of alerts and failures recorded in the system, along with triggering events and their timestamps, and shall allow access to this information through the user interface for a predefined period.</w:t>
            </w:r>
          </w:p>
          <w:p w14:paraId="3576DBE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online as well as offline consultation (with or without terminal internet connection) of its own geographical position on the map in real time, as well as the location in the field of all system devices, whether functional or faulty.</w:t>
            </w:r>
          </w:p>
          <w:p w14:paraId="2BDE568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 the event of a fault identified at system level, users responsible for resolving it shall be immediately notified by email and/or via the application interface about the occurrence of a new failure, and may, on request, be directed to the node coordinates using the mobile telemanagement application.</w:t>
            </w:r>
          </w:p>
          <w:p w14:paraId="0BAA425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telemanagement system shall be capable of generating tasks for maintenance technician accounts, enabling the issuance of preventive scheduled or corrective maintenance orders. Using the mobile application, the maintenance technician shall have access to troubleshooting suggestions and shall be able to generate reports regarding the intervention performed, including photographic documentation.</w:t>
            </w:r>
          </w:p>
          <w:p w14:paraId="1DBF365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WORK GROUPS: The system shall be capable of forming groups of luminaires at road section level or work groups in areas of interest (intersections, pedestrian crossings, parking lots, pedestrian zones), to which any of the luminaires existing in the control system can be assigned. If necessary, these luminaires may be easily transferred to other work groups (operating scenarios) or long-term scenarios, such as holiday lighting.</w:t>
            </w:r>
          </w:p>
          <w:p w14:paraId="4B95107B"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DATA EXPORT/IMPORT: The system shall be capable of importing a .csv, .xml, .json, or any other type of data file containing at least:</w:t>
            </w:r>
          </w:p>
          <w:p w14:paraId="30A62D34"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lastRenderedPageBreak/>
              <w:t>Location coordinates of each node (luminaire + controller, sensor, lighting cabinet, etc.) to be installed</w:t>
            </w:r>
          </w:p>
          <w:p w14:paraId="7220FAA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Parameters of each node (installed power, type of bracket, type of pole, etc.)</w:t>
            </w:r>
          </w:p>
          <w:p w14:paraId="763CE5E8"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During the installation of devices in the field, specific symbols and the status of devices (installed or under installation) shall be displayed on the map in the web application, allowing control accounts to verify the status and accuracy of installation at any time.</w:t>
            </w:r>
          </w:p>
          <w:p w14:paraId="194CDE4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be capable of generating a .csv, .xml, .json, or any other type of data file that can be imported (adapted for import) into third-party software, such as Asset Management Systems (AMS) or Geographic Information Systems (GIS).</w:t>
            </w:r>
          </w:p>
          <w:p w14:paraId="34F74FE3"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MANUAL CONTROL: Normally, the system shall operate based on automatic operating scenarios. Automatic control is based on standard or user-defined operating programs or scenarios, from the entire controlled system down to an individual luminaire.</w:t>
            </w:r>
          </w:p>
          <w:p w14:paraId="0EC07D00"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Manual control shall allow remote system control through commands executed by the user via the web or mobile application, as appropriate.</w:t>
            </w:r>
          </w:p>
          <w:p w14:paraId="0988320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Switching to manual control mode shall be set for a limited period of time, after which the system shall return to automatic control mode.</w:t>
            </w:r>
          </w:p>
          <w:p w14:paraId="48F520BF"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SECURITY: The telemanagement system shall ensure the required security level for uninterrupted operation:</w:t>
            </w:r>
          </w:p>
          <w:p w14:paraId="7EF61B2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Mobile applications shall be available in secure download environments, in the Play Store and AppStore, and may only be used after an initial pre-validation from the CMS of each mobile terminal used.</w:t>
            </w:r>
          </w:p>
          <w:p w14:paraId="427D546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Access shall be based on Username, Password, and Two-Factor Authentication, with the generation of a unique access code via email and/or SMS.</w:t>
            </w:r>
          </w:p>
          <w:p w14:paraId="5D1AEE92"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Communication shall use a customized encryption algorithm that ensures the security of the entire system. All communications with the CMS, between the CMS and equipment, or between equipment, shall be encrypted with customized algorithms and AES 128-bit encryption (or equivalent).</w:t>
            </w:r>
          </w:p>
          <w:p w14:paraId="6D3F2F0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interconnection with a third-party platform through an Application Programming Interface (API).</w:t>
            </w:r>
          </w:p>
          <w:p w14:paraId="2BFB1CA5"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INTEROPERABILITY: The system shall be able to integrate third-party sensors (weather stations – pollution, CO₂, temperature, humidity, motion sensors, etc.) and shall be able to generate thermal and/or traffic maps.</w:t>
            </w:r>
          </w:p>
          <w:p w14:paraId="5B86B357"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the configuration of threshold values for monitored parameters as numerical intervals and the association of one or more such intervals with a type of alert. The system shall be capable of alerting the user of potential unauthorized electricity consumption from the public lighting network or of exceeding certain values recorded by the integrated sensors.</w:t>
            </w:r>
          </w:p>
          <w:p w14:paraId="599B02CC"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shall allow GIS integration for various identifiable elements (poles, transformer stations, electrical distribution panels, gas, water/sewage, parking lots, etc.), with the possibility to assign information related to their maintenance as well as their inventory.</w:t>
            </w:r>
          </w:p>
          <w:p w14:paraId="2AC71F0E"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Relevant documentation (installation manuals, brochures/data sheets, service reports, etc.) will be attached from the telemanagement application.</w:t>
            </w:r>
          </w:p>
          <w:p w14:paraId="33FF38D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xml:space="preserve">The system allows the configuration of threshold values for the monitored parameters in the form of numerical ranges and the association of one or more such ranges with an alert type. The system is able to notify the user about </w:t>
            </w:r>
            <w:r w:rsidRPr="00664062">
              <w:rPr>
                <w:rFonts w:ascii="Times New Roman" w:hAnsi="Times New Roman"/>
                <w:sz w:val="22"/>
                <w:szCs w:val="22"/>
              </w:rPr>
              <w:lastRenderedPageBreak/>
              <w:t>potential unauthorized electricity consumption from the public lighting network or when exceeding certain values recorded by the integrated sensors.</w:t>
            </w:r>
          </w:p>
          <w:p w14:paraId="6134B1B9"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system allows GIS integration for various identifiable elements (poles, transformer stations, electrical distribution panels, gas, water/sewage, parking lots, etc.), with the possibility of assigning information related to their maintenance as well as their inventory.</w:t>
            </w:r>
          </w:p>
          <w:p w14:paraId="3D92FEB1" w14:textId="77777777"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The demonstration of the remote management system’s software capabilities will be carried out by providing a demo account for the software components of the system (web and mobile), which will allow the Beneficiary to view and test the basic functionalities. The demo account will display real devices installed in the field or virtual devices simulated for each component of the remote management system, in sufficient quantities to verify all functionalities. For functionalities that cannot be demonstrated through the demo account (alerts, notifications, etc.), screenshots from the applications used will be attached.</w:t>
            </w:r>
          </w:p>
          <w:p w14:paraId="4B41A923" w14:textId="4869F671"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 xml:space="preserve">The telemanagement system must be compatible and interoperable with other Smart City systems. A TALQ Certificate of Conformity or any other </w:t>
            </w:r>
            <w:r>
              <w:rPr>
                <w:rFonts w:ascii="Times New Roman" w:hAnsi="Times New Roman"/>
                <w:sz w:val="22"/>
                <w:szCs w:val="22"/>
              </w:rPr>
              <w:t>equivalent</w:t>
            </w:r>
            <w:r w:rsidRPr="00664062">
              <w:rPr>
                <w:rFonts w:ascii="Times New Roman" w:hAnsi="Times New Roman"/>
                <w:sz w:val="22"/>
                <w:szCs w:val="22"/>
              </w:rPr>
              <w:t xml:space="preserve"> proof of future integration capability shall be provided, at least for motion sensors, parking sensors, and environmental sensors.</w:t>
            </w:r>
          </w:p>
          <w:p w14:paraId="5A15CD57" w14:textId="31027F94" w:rsidR="00E30224" w:rsidRPr="00664062" w:rsidRDefault="00E30224" w:rsidP="00664062">
            <w:pPr>
              <w:spacing w:before="0" w:after="0"/>
              <w:rPr>
                <w:rFonts w:ascii="Times New Roman" w:hAnsi="Times New Roman"/>
                <w:sz w:val="22"/>
                <w:szCs w:val="22"/>
              </w:rPr>
            </w:pPr>
            <w:r w:rsidRPr="00664062">
              <w:rPr>
                <w:rFonts w:ascii="Times New Roman" w:hAnsi="Times New Roman"/>
                <w:sz w:val="22"/>
                <w:szCs w:val="22"/>
              </w:rPr>
              <w:t>A certificate of conformity shall be provided for the entire telemanagement system, in accordance with the essential directives, confirming that the telemanagement system with all its components (luminaire controller, smart lighting cabinet) complies with the following standards: EN 61439, EN 61000, EN 55032, EN 55011, EN 55035, and EN 60529, issued by an accredited certification body in accordance with EN ISO/IEC 17065.</w:t>
            </w:r>
          </w:p>
        </w:tc>
        <w:tc>
          <w:tcPr>
            <w:tcW w:w="1560" w:type="dxa"/>
            <w:shd w:val="clear" w:color="auto" w:fill="FFFFFF" w:themeFill="background1"/>
          </w:tcPr>
          <w:p w14:paraId="715565B9" w14:textId="5F7F45D2"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1 pc</w:t>
            </w:r>
          </w:p>
        </w:tc>
      </w:tr>
      <w:tr w:rsidR="00E30224" w:rsidRPr="00034B1D" w14:paraId="597F3826" w14:textId="77777777" w:rsidTr="000511DF">
        <w:trPr>
          <w:cantSplit/>
          <w:trHeight w:val="879"/>
          <w:tblHeader/>
        </w:trPr>
        <w:tc>
          <w:tcPr>
            <w:tcW w:w="738" w:type="dxa"/>
            <w:shd w:val="clear" w:color="auto" w:fill="FFFFFF" w:themeFill="background1"/>
          </w:tcPr>
          <w:p w14:paraId="072E2AC5" w14:textId="12709F97" w:rsidR="00E30224" w:rsidRDefault="00E30224" w:rsidP="00AD4107">
            <w:pPr>
              <w:jc w:val="center"/>
              <w:rPr>
                <w:rFonts w:ascii="Times New Roman" w:hAnsi="Times New Roman"/>
                <w:b/>
                <w:sz w:val="22"/>
                <w:szCs w:val="22"/>
              </w:rPr>
            </w:pPr>
            <w:r>
              <w:rPr>
                <w:rFonts w:ascii="Times New Roman" w:hAnsi="Times New Roman"/>
                <w:b/>
                <w:sz w:val="22"/>
                <w:szCs w:val="22"/>
              </w:rPr>
              <w:lastRenderedPageBreak/>
              <w:t>6</w:t>
            </w:r>
          </w:p>
        </w:tc>
        <w:tc>
          <w:tcPr>
            <w:tcW w:w="10489" w:type="dxa"/>
            <w:tcBorders>
              <w:top w:val="nil"/>
              <w:left w:val="single" w:sz="4" w:space="0" w:color="auto"/>
              <w:bottom w:val="single" w:sz="4" w:space="0" w:color="auto"/>
              <w:right w:val="single" w:sz="4" w:space="0" w:color="auto"/>
            </w:tcBorders>
            <w:shd w:val="clear" w:color="auto" w:fill="auto"/>
            <w:vAlign w:val="bottom"/>
          </w:tcPr>
          <w:p w14:paraId="47307923" w14:textId="77777777" w:rsidR="00E30224" w:rsidRPr="0092634C" w:rsidRDefault="00E30224" w:rsidP="00AD4107">
            <w:pPr>
              <w:spacing w:before="0" w:after="0"/>
              <w:rPr>
                <w:rFonts w:ascii="Calibri" w:hAnsi="Calibri" w:cs="Calibri"/>
                <w:b/>
                <w:sz w:val="22"/>
                <w:szCs w:val="22"/>
              </w:rPr>
            </w:pPr>
            <w:r w:rsidRPr="0092634C">
              <w:rPr>
                <w:rFonts w:ascii="Calibri" w:hAnsi="Calibri" w:cs="Calibri"/>
                <w:b/>
                <w:sz w:val="22"/>
                <w:szCs w:val="22"/>
              </w:rPr>
              <w:t>Server</w:t>
            </w:r>
          </w:p>
          <w:p w14:paraId="16132D7A" w14:textId="77777777" w:rsidR="00E30224" w:rsidRDefault="00E30224" w:rsidP="00AD4107">
            <w:pPr>
              <w:spacing w:before="0" w:after="0"/>
              <w:rPr>
                <w:rFonts w:ascii="Times New Roman" w:hAnsi="Times New Roman"/>
                <w:b/>
                <w:sz w:val="22"/>
                <w:szCs w:val="22"/>
              </w:rPr>
            </w:pPr>
          </w:p>
          <w:p w14:paraId="112B81A4" w14:textId="1187FFBB" w:rsidR="00E30224" w:rsidRPr="0092634C" w:rsidRDefault="00E30224" w:rsidP="00AD4107">
            <w:pPr>
              <w:spacing w:before="0" w:after="0"/>
              <w:rPr>
                <w:rFonts w:ascii="Times New Roman" w:hAnsi="Times New Roman"/>
                <w:sz w:val="22"/>
                <w:szCs w:val="22"/>
              </w:rPr>
            </w:pPr>
            <w:r w:rsidRPr="0092634C">
              <w:rPr>
                <w:rFonts w:ascii="Times New Roman" w:hAnsi="Times New Roman"/>
                <w:sz w:val="22"/>
                <w:szCs w:val="22"/>
              </w:rPr>
              <w:t>The server should support all software operation under topics 2-5</w:t>
            </w:r>
          </w:p>
        </w:tc>
        <w:tc>
          <w:tcPr>
            <w:tcW w:w="1560" w:type="dxa"/>
            <w:shd w:val="clear" w:color="auto" w:fill="FFFFFF" w:themeFill="background1"/>
          </w:tcPr>
          <w:p w14:paraId="67CFC652" w14:textId="40CFBFE7"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t>1pc</w:t>
            </w:r>
          </w:p>
        </w:tc>
      </w:tr>
      <w:tr w:rsidR="00E30224" w:rsidRPr="00034B1D" w14:paraId="0A8F4076" w14:textId="77777777" w:rsidTr="000511DF">
        <w:trPr>
          <w:cantSplit/>
          <w:trHeight w:val="879"/>
          <w:tblHeader/>
        </w:trPr>
        <w:tc>
          <w:tcPr>
            <w:tcW w:w="738" w:type="dxa"/>
            <w:shd w:val="clear" w:color="auto" w:fill="FFFFFF" w:themeFill="background1"/>
          </w:tcPr>
          <w:p w14:paraId="31ACBA0B" w14:textId="05A72892" w:rsidR="00E30224" w:rsidRDefault="00E30224" w:rsidP="00AD4107">
            <w:pPr>
              <w:jc w:val="center"/>
              <w:rPr>
                <w:rFonts w:ascii="Times New Roman" w:hAnsi="Times New Roman"/>
                <w:b/>
                <w:sz w:val="22"/>
                <w:szCs w:val="22"/>
              </w:rPr>
            </w:pPr>
            <w:r>
              <w:rPr>
                <w:rFonts w:ascii="Times New Roman" w:hAnsi="Times New Roman"/>
                <w:b/>
                <w:sz w:val="22"/>
                <w:szCs w:val="22"/>
              </w:rPr>
              <w:t>7</w:t>
            </w:r>
          </w:p>
        </w:tc>
        <w:tc>
          <w:tcPr>
            <w:tcW w:w="10489" w:type="dxa"/>
            <w:tcBorders>
              <w:top w:val="nil"/>
              <w:left w:val="single" w:sz="4" w:space="0" w:color="auto"/>
              <w:bottom w:val="single" w:sz="4" w:space="0" w:color="auto"/>
              <w:right w:val="single" w:sz="4" w:space="0" w:color="auto"/>
            </w:tcBorders>
            <w:shd w:val="clear" w:color="auto" w:fill="auto"/>
            <w:vAlign w:val="bottom"/>
          </w:tcPr>
          <w:p w14:paraId="6467BFB4" w14:textId="30B88858" w:rsidR="00E30224" w:rsidRPr="0092634C" w:rsidRDefault="00E30224" w:rsidP="00AD4107">
            <w:pPr>
              <w:spacing w:before="0" w:after="0"/>
              <w:rPr>
                <w:rFonts w:ascii="Calibri" w:hAnsi="Calibri" w:cs="Calibri"/>
                <w:b/>
                <w:sz w:val="22"/>
                <w:szCs w:val="22"/>
              </w:rPr>
            </w:pPr>
            <w:r w:rsidRPr="0092634C">
              <w:rPr>
                <w:rFonts w:ascii="Calibri" w:hAnsi="Calibri" w:cs="Calibri"/>
                <w:b/>
                <w:sz w:val="22"/>
                <w:szCs w:val="22"/>
              </w:rPr>
              <w:t>Instalation of luminaires</w:t>
            </w:r>
          </w:p>
          <w:p w14:paraId="55C3A8A4" w14:textId="77777777" w:rsidR="00E30224" w:rsidRDefault="00E30224" w:rsidP="00AD4107">
            <w:pPr>
              <w:spacing w:before="0" w:after="0"/>
              <w:rPr>
                <w:rFonts w:ascii="Times New Roman" w:hAnsi="Times New Roman"/>
                <w:b/>
                <w:sz w:val="22"/>
                <w:szCs w:val="22"/>
              </w:rPr>
            </w:pPr>
          </w:p>
          <w:p w14:paraId="4A69FCEE" w14:textId="04C911B2" w:rsidR="00E30224" w:rsidRPr="00C15410" w:rsidRDefault="00E30224" w:rsidP="00AD4107">
            <w:pPr>
              <w:spacing w:before="0" w:after="0"/>
              <w:rPr>
                <w:rFonts w:ascii="Times New Roman" w:hAnsi="Times New Roman"/>
                <w:sz w:val="22"/>
                <w:szCs w:val="22"/>
              </w:rPr>
            </w:pPr>
            <w:r w:rsidRPr="00C15410">
              <w:rPr>
                <w:rFonts w:ascii="Times New Roman" w:hAnsi="Times New Roman"/>
                <w:sz w:val="22"/>
                <w:szCs w:val="22"/>
              </w:rPr>
              <w:t>During the dismantling of the existing lighting/eqipment, all equipment in its current condition must be deposited at the Municipal Utility warehouse of Tuzi</w:t>
            </w:r>
          </w:p>
        </w:tc>
        <w:tc>
          <w:tcPr>
            <w:tcW w:w="1560" w:type="dxa"/>
            <w:shd w:val="clear" w:color="auto" w:fill="FFFFFF" w:themeFill="background1"/>
          </w:tcPr>
          <w:p w14:paraId="5110D06B" w14:textId="7CA29154"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t>500 pcs</w:t>
            </w:r>
          </w:p>
        </w:tc>
      </w:tr>
      <w:tr w:rsidR="00E30224" w:rsidRPr="00034B1D" w14:paraId="6AB3067A" w14:textId="77777777" w:rsidTr="000511DF">
        <w:trPr>
          <w:cantSplit/>
          <w:trHeight w:val="879"/>
          <w:tblHeader/>
        </w:trPr>
        <w:tc>
          <w:tcPr>
            <w:tcW w:w="738" w:type="dxa"/>
            <w:shd w:val="clear" w:color="auto" w:fill="FFFFFF" w:themeFill="background1"/>
          </w:tcPr>
          <w:p w14:paraId="692CBCE5" w14:textId="78CC0BCD" w:rsidR="00E30224" w:rsidRDefault="00E30224" w:rsidP="00AD4107">
            <w:pPr>
              <w:jc w:val="center"/>
              <w:rPr>
                <w:rFonts w:ascii="Times New Roman" w:hAnsi="Times New Roman"/>
                <w:b/>
                <w:sz w:val="22"/>
                <w:szCs w:val="22"/>
              </w:rPr>
            </w:pPr>
            <w:r>
              <w:rPr>
                <w:rFonts w:ascii="Times New Roman" w:hAnsi="Times New Roman"/>
                <w:b/>
                <w:sz w:val="22"/>
                <w:szCs w:val="22"/>
              </w:rPr>
              <w:t>8</w:t>
            </w:r>
          </w:p>
        </w:tc>
        <w:tc>
          <w:tcPr>
            <w:tcW w:w="10489" w:type="dxa"/>
            <w:tcBorders>
              <w:top w:val="nil"/>
              <w:left w:val="single" w:sz="4" w:space="0" w:color="auto"/>
              <w:bottom w:val="single" w:sz="4" w:space="0" w:color="auto"/>
              <w:right w:val="single" w:sz="4" w:space="0" w:color="auto"/>
            </w:tcBorders>
            <w:shd w:val="clear" w:color="auto" w:fill="auto"/>
            <w:vAlign w:val="bottom"/>
          </w:tcPr>
          <w:p w14:paraId="4851F8B9" w14:textId="6EE6CB25" w:rsidR="00E30224" w:rsidRPr="0092634C" w:rsidRDefault="00E30224" w:rsidP="00AD4107">
            <w:pPr>
              <w:spacing w:before="0" w:after="0"/>
              <w:rPr>
                <w:rFonts w:ascii="Calibri" w:hAnsi="Calibri" w:cs="Calibri"/>
                <w:b/>
                <w:sz w:val="22"/>
                <w:szCs w:val="22"/>
              </w:rPr>
            </w:pPr>
            <w:r w:rsidRPr="0092634C">
              <w:rPr>
                <w:rFonts w:ascii="Calibri" w:hAnsi="Calibri" w:cs="Calibri"/>
                <w:b/>
                <w:sz w:val="22"/>
                <w:szCs w:val="22"/>
              </w:rPr>
              <w:t>Instalation of smart fuse box</w:t>
            </w:r>
          </w:p>
          <w:p w14:paraId="5350FA2F" w14:textId="77777777" w:rsidR="00E30224" w:rsidRDefault="00E30224" w:rsidP="00AD4107">
            <w:pPr>
              <w:spacing w:before="0" w:after="0"/>
              <w:rPr>
                <w:rFonts w:ascii="Times New Roman" w:hAnsi="Times New Roman"/>
                <w:b/>
                <w:sz w:val="22"/>
                <w:szCs w:val="22"/>
              </w:rPr>
            </w:pPr>
          </w:p>
          <w:p w14:paraId="745789C2" w14:textId="0281F302" w:rsidR="00E30224" w:rsidRPr="0092634C" w:rsidRDefault="00E30224" w:rsidP="00AD4107">
            <w:pPr>
              <w:spacing w:before="0" w:after="0"/>
              <w:rPr>
                <w:rFonts w:ascii="Times New Roman" w:hAnsi="Times New Roman"/>
                <w:sz w:val="22"/>
                <w:szCs w:val="22"/>
              </w:rPr>
            </w:pPr>
            <w:r w:rsidRPr="0092634C">
              <w:rPr>
                <w:rFonts w:ascii="Times New Roman" w:hAnsi="Times New Roman"/>
                <w:sz w:val="22"/>
                <w:szCs w:val="22"/>
              </w:rPr>
              <w:t>During the dismantling of the existing fuse box/eqipment, all equipment in its current condition must be deposited at the Municipal Utility warehouse of Tuzi</w:t>
            </w:r>
          </w:p>
        </w:tc>
        <w:tc>
          <w:tcPr>
            <w:tcW w:w="1560" w:type="dxa"/>
            <w:shd w:val="clear" w:color="auto" w:fill="FFFFFF" w:themeFill="background1"/>
          </w:tcPr>
          <w:p w14:paraId="7C7A12DB" w14:textId="09A4C9AE"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t>4 pcs</w:t>
            </w:r>
          </w:p>
        </w:tc>
      </w:tr>
      <w:tr w:rsidR="00E30224" w:rsidRPr="00034B1D" w14:paraId="3CF926DE" w14:textId="77777777" w:rsidTr="000511DF">
        <w:trPr>
          <w:cantSplit/>
          <w:trHeight w:val="879"/>
          <w:tblHeader/>
        </w:trPr>
        <w:tc>
          <w:tcPr>
            <w:tcW w:w="738" w:type="dxa"/>
            <w:shd w:val="clear" w:color="auto" w:fill="FFFFFF" w:themeFill="background1"/>
          </w:tcPr>
          <w:p w14:paraId="170C9388" w14:textId="46EDC277" w:rsidR="00E30224" w:rsidRDefault="00E30224" w:rsidP="00AD4107">
            <w:pPr>
              <w:jc w:val="center"/>
              <w:rPr>
                <w:rFonts w:ascii="Times New Roman" w:hAnsi="Times New Roman"/>
                <w:b/>
                <w:sz w:val="22"/>
                <w:szCs w:val="22"/>
              </w:rPr>
            </w:pPr>
            <w:r>
              <w:rPr>
                <w:rFonts w:ascii="Times New Roman" w:hAnsi="Times New Roman"/>
                <w:b/>
                <w:sz w:val="22"/>
                <w:szCs w:val="22"/>
              </w:rPr>
              <w:t>9</w:t>
            </w:r>
          </w:p>
        </w:tc>
        <w:tc>
          <w:tcPr>
            <w:tcW w:w="10489" w:type="dxa"/>
            <w:tcBorders>
              <w:top w:val="nil"/>
              <w:left w:val="single" w:sz="4" w:space="0" w:color="auto"/>
              <w:bottom w:val="single" w:sz="4" w:space="0" w:color="auto"/>
              <w:right w:val="single" w:sz="4" w:space="0" w:color="auto"/>
            </w:tcBorders>
            <w:shd w:val="clear" w:color="auto" w:fill="auto"/>
            <w:vAlign w:val="bottom"/>
          </w:tcPr>
          <w:p w14:paraId="10FA760D" w14:textId="77777777" w:rsidR="00E30224" w:rsidRPr="0092634C" w:rsidRDefault="00E30224" w:rsidP="00AD4107">
            <w:pPr>
              <w:spacing w:before="0" w:after="0"/>
              <w:rPr>
                <w:rFonts w:ascii="Calibri" w:hAnsi="Calibri" w:cs="Calibri"/>
                <w:b/>
                <w:sz w:val="22"/>
                <w:szCs w:val="22"/>
              </w:rPr>
            </w:pPr>
            <w:r w:rsidRPr="0092634C">
              <w:rPr>
                <w:rFonts w:ascii="Calibri" w:hAnsi="Calibri" w:cs="Calibri"/>
                <w:b/>
                <w:sz w:val="22"/>
                <w:szCs w:val="22"/>
              </w:rPr>
              <w:t>Instalation of pedestrian crossing solution</w:t>
            </w:r>
          </w:p>
          <w:p w14:paraId="675EA133" w14:textId="77777777" w:rsidR="00E30224" w:rsidRDefault="00E30224" w:rsidP="00AD4107">
            <w:pPr>
              <w:spacing w:before="0" w:after="0"/>
              <w:rPr>
                <w:rFonts w:ascii="Times New Roman" w:hAnsi="Times New Roman"/>
                <w:b/>
                <w:sz w:val="22"/>
                <w:szCs w:val="22"/>
              </w:rPr>
            </w:pPr>
          </w:p>
          <w:p w14:paraId="588475E3" w14:textId="738F9BF3" w:rsidR="00E30224" w:rsidRDefault="00E30224" w:rsidP="00AD4107">
            <w:pPr>
              <w:spacing w:before="0" w:after="0"/>
              <w:rPr>
                <w:rFonts w:ascii="Times New Roman" w:hAnsi="Times New Roman"/>
                <w:b/>
                <w:sz w:val="22"/>
                <w:szCs w:val="22"/>
              </w:rPr>
            </w:pPr>
          </w:p>
        </w:tc>
        <w:tc>
          <w:tcPr>
            <w:tcW w:w="1560" w:type="dxa"/>
            <w:shd w:val="clear" w:color="auto" w:fill="FFFFFF" w:themeFill="background1"/>
          </w:tcPr>
          <w:p w14:paraId="7EEA1E9A" w14:textId="40CC0B94"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t>4 pcs</w:t>
            </w:r>
          </w:p>
          <w:p w14:paraId="6CAB691E" w14:textId="3D54F28F" w:rsidR="00E30224" w:rsidRDefault="00E30224" w:rsidP="00AD4107">
            <w:pPr>
              <w:tabs>
                <w:tab w:val="left" w:pos="729"/>
              </w:tabs>
              <w:jc w:val="center"/>
              <w:rPr>
                <w:rFonts w:ascii="Times New Roman" w:hAnsi="Times New Roman"/>
                <w:b/>
                <w:sz w:val="22"/>
                <w:szCs w:val="22"/>
              </w:rPr>
            </w:pPr>
          </w:p>
        </w:tc>
      </w:tr>
      <w:tr w:rsidR="00E30224" w:rsidRPr="00034B1D" w14:paraId="45C942C4" w14:textId="77777777" w:rsidTr="000511DF">
        <w:trPr>
          <w:cantSplit/>
          <w:trHeight w:val="879"/>
          <w:tblHeader/>
        </w:trPr>
        <w:tc>
          <w:tcPr>
            <w:tcW w:w="738" w:type="dxa"/>
            <w:shd w:val="clear" w:color="auto" w:fill="FFFFFF" w:themeFill="background1"/>
          </w:tcPr>
          <w:p w14:paraId="2D4E9699" w14:textId="79C5ECD4" w:rsidR="00E30224" w:rsidRDefault="00E30224" w:rsidP="00AD4107">
            <w:pPr>
              <w:jc w:val="center"/>
              <w:rPr>
                <w:rFonts w:ascii="Times New Roman" w:hAnsi="Times New Roman"/>
                <w:b/>
                <w:sz w:val="22"/>
                <w:szCs w:val="22"/>
              </w:rPr>
            </w:pPr>
            <w:r>
              <w:rPr>
                <w:rFonts w:ascii="Times New Roman" w:hAnsi="Times New Roman"/>
                <w:b/>
                <w:sz w:val="22"/>
                <w:szCs w:val="22"/>
              </w:rPr>
              <w:t>10</w:t>
            </w:r>
          </w:p>
        </w:tc>
        <w:tc>
          <w:tcPr>
            <w:tcW w:w="10489" w:type="dxa"/>
            <w:tcBorders>
              <w:top w:val="nil"/>
              <w:left w:val="single" w:sz="4" w:space="0" w:color="auto"/>
              <w:bottom w:val="nil"/>
              <w:right w:val="single" w:sz="4" w:space="0" w:color="auto"/>
            </w:tcBorders>
            <w:shd w:val="clear" w:color="auto" w:fill="auto"/>
            <w:vAlign w:val="bottom"/>
          </w:tcPr>
          <w:p w14:paraId="26CDD8BF" w14:textId="77777777" w:rsidR="00E30224" w:rsidRPr="0092634C" w:rsidRDefault="00E30224" w:rsidP="00AD4107">
            <w:pPr>
              <w:spacing w:before="0" w:after="0"/>
              <w:rPr>
                <w:rFonts w:ascii="Calibri" w:hAnsi="Calibri" w:cs="Calibri"/>
                <w:b/>
                <w:sz w:val="22"/>
                <w:szCs w:val="22"/>
              </w:rPr>
            </w:pPr>
            <w:r w:rsidRPr="0092634C">
              <w:rPr>
                <w:rFonts w:ascii="Calibri" w:hAnsi="Calibri" w:cs="Calibri"/>
                <w:b/>
                <w:sz w:val="22"/>
                <w:szCs w:val="22"/>
              </w:rPr>
              <w:t>Accessories</w:t>
            </w:r>
          </w:p>
          <w:p w14:paraId="35E5F5C4" w14:textId="5212298F" w:rsidR="00E30224" w:rsidRDefault="00E30224" w:rsidP="00AD4107">
            <w:pPr>
              <w:spacing w:before="0" w:after="0"/>
              <w:rPr>
                <w:rFonts w:ascii="Times New Roman" w:hAnsi="Times New Roman"/>
                <w:b/>
                <w:sz w:val="22"/>
                <w:szCs w:val="22"/>
              </w:rPr>
            </w:pPr>
          </w:p>
          <w:p w14:paraId="5577A84C" w14:textId="77777777" w:rsidR="00E30224" w:rsidRDefault="00E30224" w:rsidP="00AD4107">
            <w:pPr>
              <w:spacing w:before="0" w:after="0"/>
              <w:rPr>
                <w:rFonts w:ascii="Times New Roman" w:hAnsi="Times New Roman"/>
                <w:sz w:val="22"/>
                <w:szCs w:val="22"/>
              </w:rPr>
            </w:pPr>
            <w:r w:rsidRPr="0092634C">
              <w:rPr>
                <w:rFonts w:ascii="Times New Roman" w:hAnsi="Times New Roman"/>
                <w:sz w:val="22"/>
                <w:szCs w:val="22"/>
              </w:rPr>
              <w:t>All accessories needed for installation of above mentioned equipment</w:t>
            </w:r>
          </w:p>
          <w:p w14:paraId="3AF42667" w14:textId="1528B36A" w:rsidR="00E30224" w:rsidRPr="0092634C" w:rsidRDefault="00E30224" w:rsidP="00AD4107">
            <w:pPr>
              <w:spacing w:before="0" w:after="0"/>
              <w:rPr>
                <w:rFonts w:ascii="Times New Roman" w:hAnsi="Times New Roman"/>
                <w:sz w:val="22"/>
                <w:szCs w:val="22"/>
              </w:rPr>
            </w:pPr>
          </w:p>
        </w:tc>
        <w:tc>
          <w:tcPr>
            <w:tcW w:w="1560" w:type="dxa"/>
            <w:shd w:val="clear" w:color="auto" w:fill="FFFFFF" w:themeFill="background1"/>
          </w:tcPr>
          <w:p w14:paraId="43720772" w14:textId="4C5C2B86" w:rsidR="00E30224" w:rsidRDefault="00E30224" w:rsidP="00AD4107">
            <w:pPr>
              <w:tabs>
                <w:tab w:val="left" w:pos="729"/>
              </w:tabs>
              <w:jc w:val="center"/>
              <w:rPr>
                <w:rFonts w:ascii="Times New Roman" w:hAnsi="Times New Roman"/>
                <w:b/>
                <w:sz w:val="22"/>
                <w:szCs w:val="22"/>
              </w:rPr>
            </w:pPr>
            <w:r>
              <w:rPr>
                <w:rFonts w:ascii="Times New Roman" w:hAnsi="Times New Roman"/>
                <w:b/>
                <w:sz w:val="22"/>
                <w:szCs w:val="22"/>
              </w:rPr>
              <w:t>500 pcs</w:t>
            </w:r>
          </w:p>
        </w:tc>
      </w:tr>
      <w:tr w:rsidR="00E30224" w:rsidRPr="00034B1D" w14:paraId="08FDF891" w14:textId="77777777" w:rsidTr="000511DF">
        <w:trPr>
          <w:cantSplit/>
          <w:trHeight w:val="879"/>
          <w:tblHeader/>
        </w:trPr>
        <w:tc>
          <w:tcPr>
            <w:tcW w:w="738" w:type="dxa"/>
            <w:shd w:val="clear" w:color="auto" w:fill="FFFFFF" w:themeFill="background1"/>
          </w:tcPr>
          <w:p w14:paraId="724418A1" w14:textId="2D64F571" w:rsidR="00E30224" w:rsidRDefault="00E30224" w:rsidP="00AD4107">
            <w:pPr>
              <w:jc w:val="center"/>
              <w:rPr>
                <w:rFonts w:ascii="Times New Roman" w:hAnsi="Times New Roman"/>
                <w:b/>
                <w:sz w:val="22"/>
                <w:szCs w:val="22"/>
              </w:rPr>
            </w:pPr>
            <w:r>
              <w:rPr>
                <w:rFonts w:ascii="Times New Roman" w:hAnsi="Times New Roman"/>
                <w:b/>
                <w:sz w:val="22"/>
                <w:szCs w:val="22"/>
              </w:rPr>
              <w:lastRenderedPageBreak/>
              <w:t>11</w:t>
            </w:r>
          </w:p>
        </w:tc>
        <w:tc>
          <w:tcPr>
            <w:tcW w:w="10489" w:type="dxa"/>
            <w:tcBorders>
              <w:top w:val="nil"/>
              <w:left w:val="single" w:sz="4" w:space="0" w:color="auto"/>
              <w:bottom w:val="single" w:sz="4" w:space="0" w:color="auto"/>
              <w:right w:val="single" w:sz="4" w:space="0" w:color="auto"/>
            </w:tcBorders>
            <w:shd w:val="clear" w:color="auto" w:fill="auto"/>
            <w:vAlign w:val="bottom"/>
          </w:tcPr>
          <w:p w14:paraId="57315039" w14:textId="00DF3502" w:rsidR="00E30224" w:rsidRDefault="000511DF" w:rsidP="00AD4107">
            <w:pPr>
              <w:spacing w:before="0" w:after="0"/>
              <w:rPr>
                <w:rFonts w:ascii="Calibri" w:hAnsi="Calibri" w:cs="Calibri"/>
                <w:b/>
                <w:sz w:val="22"/>
                <w:szCs w:val="22"/>
              </w:rPr>
            </w:pPr>
            <w:r>
              <w:rPr>
                <w:rFonts w:ascii="Calibri" w:hAnsi="Calibri" w:cs="Calibri"/>
                <w:b/>
                <w:sz w:val="22"/>
                <w:szCs w:val="22"/>
              </w:rPr>
              <w:t>I</w:t>
            </w:r>
            <w:r w:rsidRPr="000511DF">
              <w:rPr>
                <w:rFonts w:ascii="Calibri" w:hAnsi="Calibri" w:cs="Calibri"/>
                <w:b/>
                <w:sz w:val="22"/>
                <w:szCs w:val="22"/>
              </w:rPr>
              <w:t>nformation board</w:t>
            </w:r>
          </w:p>
          <w:p w14:paraId="2D83E527" w14:textId="77777777" w:rsidR="00E30224" w:rsidRDefault="00E30224" w:rsidP="00AD4107">
            <w:pPr>
              <w:spacing w:before="0" w:after="0"/>
              <w:rPr>
                <w:rFonts w:ascii="Calibri" w:hAnsi="Calibri" w:cs="Calibri"/>
                <w:b/>
                <w:sz w:val="22"/>
                <w:szCs w:val="22"/>
              </w:rPr>
            </w:pPr>
          </w:p>
          <w:p w14:paraId="3971C9A1" w14:textId="6D9C39DA" w:rsidR="00E30224" w:rsidRPr="000511DF" w:rsidRDefault="000511DF" w:rsidP="000511DF">
            <w:pPr>
              <w:spacing w:before="0" w:after="0"/>
              <w:rPr>
                <w:rFonts w:ascii="Calibri" w:hAnsi="Calibri" w:cs="Calibri"/>
                <w:sz w:val="22"/>
                <w:szCs w:val="22"/>
              </w:rPr>
            </w:pPr>
            <w:r w:rsidRPr="000511DF">
              <w:rPr>
                <w:rFonts w:ascii="Calibri" w:hAnsi="Calibri" w:cs="Calibri"/>
                <w:sz w:val="22"/>
                <w:szCs w:val="22"/>
              </w:rPr>
              <w:t xml:space="preserve">Preparation and installation of a temporary/permanent project/investment information board. Dimensions: A2, full colour, </w:t>
            </w:r>
            <w:r w:rsidRPr="000511DF">
              <w:rPr>
                <w:rFonts w:ascii="Calibri" w:hAnsi="Calibri" w:cs="Calibri"/>
                <w:sz w:val="22"/>
                <w:szCs w:val="22"/>
              </w:rPr>
              <w:t>Board material: waterproof</w:t>
            </w:r>
          </w:p>
        </w:tc>
        <w:tc>
          <w:tcPr>
            <w:tcW w:w="1560" w:type="dxa"/>
            <w:shd w:val="clear" w:color="auto" w:fill="FFFFFF" w:themeFill="background1"/>
          </w:tcPr>
          <w:p w14:paraId="5D510A1E" w14:textId="3AF3C578" w:rsidR="00E30224" w:rsidRDefault="000511DF" w:rsidP="00AD4107">
            <w:pPr>
              <w:tabs>
                <w:tab w:val="left" w:pos="729"/>
              </w:tabs>
              <w:jc w:val="center"/>
              <w:rPr>
                <w:rFonts w:ascii="Times New Roman" w:hAnsi="Times New Roman"/>
                <w:b/>
                <w:sz w:val="22"/>
                <w:szCs w:val="22"/>
              </w:rPr>
            </w:pPr>
            <w:r>
              <w:rPr>
                <w:rFonts w:ascii="Times New Roman" w:hAnsi="Times New Roman"/>
                <w:b/>
                <w:sz w:val="22"/>
                <w:szCs w:val="22"/>
              </w:rPr>
              <w:t>1 pc</w:t>
            </w:r>
          </w:p>
        </w:tc>
      </w:tr>
    </w:tbl>
    <w:p w14:paraId="2B5D50B3" w14:textId="77777777" w:rsidR="00104DB7" w:rsidRDefault="00104DB7" w:rsidP="005C4176">
      <w:pPr>
        <w:spacing w:before="0"/>
        <w:ind w:left="567" w:hanging="567"/>
        <w:rPr>
          <w:lang w:val="en-GB"/>
        </w:rPr>
      </w:pPr>
    </w:p>
    <w:p w14:paraId="35EDABA2" w14:textId="77777777" w:rsidR="00104DB7" w:rsidRPr="00D10EF9" w:rsidRDefault="00104DB7" w:rsidP="00D10EF9">
      <w:pPr>
        <w:rPr>
          <w:rFonts w:ascii="Times New Roman" w:hAnsi="Times New Roman"/>
          <w:sz w:val="22"/>
          <w:szCs w:val="22"/>
          <w:lang w:val="en-GB"/>
        </w:rPr>
      </w:pPr>
      <w:bookmarkStart w:id="0" w:name="_GoBack"/>
      <w:bookmarkEnd w:id="0"/>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F8662" w14:textId="77777777" w:rsidR="00427DAD" w:rsidRDefault="00427DAD">
      <w:r>
        <w:separator/>
      </w:r>
    </w:p>
  </w:endnote>
  <w:endnote w:type="continuationSeparator" w:id="0">
    <w:p w14:paraId="05490CBA" w14:textId="77777777" w:rsidR="00427DAD" w:rsidRDefault="0042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Up">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7160E" w14:textId="77777777" w:rsidR="00427DAD" w:rsidRDefault="00427DAD">
      <w:r>
        <w:separator/>
      </w:r>
    </w:p>
  </w:footnote>
  <w:footnote w:type="continuationSeparator" w:id="0">
    <w:p w14:paraId="438B9126" w14:textId="77777777" w:rsidR="00427DAD" w:rsidRDefault="0042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D607" w14:textId="26ABE06E" w:rsidR="00F66567" w:rsidRDefault="004214FD" w:rsidP="007970FC">
    <w:pPr>
      <w:rPr>
        <w:b/>
        <w:bCs/>
        <w:lang w:val="en-GB"/>
      </w:rPr>
    </w:pPr>
    <w:r w:rsidRPr="002F070A">
      <w:rPr>
        <w:noProof/>
      </w:rPr>
      <w:drawing>
        <wp:inline distT="0" distB="0" distL="0" distR="0" wp14:anchorId="2ACDA219" wp14:editId="2DD05B8B">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3A62E60"/>
    <w:multiLevelType w:val="multilevel"/>
    <w:tmpl w:val="87A6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A9A33CE"/>
    <w:multiLevelType w:val="multilevel"/>
    <w:tmpl w:val="5850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8"/>
  </w:num>
  <w:num w:numId="3">
    <w:abstractNumId w:val="6"/>
  </w:num>
  <w:num w:numId="4">
    <w:abstractNumId w:val="31"/>
  </w:num>
  <w:num w:numId="5">
    <w:abstractNumId w:val="25"/>
  </w:num>
  <w:num w:numId="6">
    <w:abstractNumId w:val="20"/>
  </w:num>
  <w:num w:numId="7">
    <w:abstractNumId w:val="18"/>
  </w:num>
  <w:num w:numId="8">
    <w:abstractNumId w:val="24"/>
  </w:num>
  <w:num w:numId="9">
    <w:abstractNumId w:val="45"/>
  </w:num>
  <w:num w:numId="10">
    <w:abstractNumId w:val="12"/>
  </w:num>
  <w:num w:numId="11">
    <w:abstractNumId w:val="13"/>
  </w:num>
  <w:num w:numId="12">
    <w:abstractNumId w:val="15"/>
  </w:num>
  <w:num w:numId="13">
    <w:abstractNumId w:val="30"/>
  </w:num>
  <w:num w:numId="14">
    <w:abstractNumId w:val="35"/>
  </w:num>
  <w:num w:numId="15">
    <w:abstractNumId w:val="40"/>
  </w:num>
  <w:num w:numId="16">
    <w:abstractNumId w:val="8"/>
  </w:num>
  <w:num w:numId="17">
    <w:abstractNumId w:val="23"/>
  </w:num>
  <w:num w:numId="18">
    <w:abstractNumId w:val="28"/>
  </w:num>
  <w:num w:numId="19">
    <w:abstractNumId w:val="34"/>
  </w:num>
  <w:num w:numId="20">
    <w:abstractNumId w:val="10"/>
  </w:num>
  <w:num w:numId="21">
    <w:abstractNumId w:val="26"/>
  </w:num>
  <w:num w:numId="22">
    <w:abstractNumId w:val="16"/>
  </w:num>
  <w:num w:numId="23">
    <w:abstractNumId w:val="19"/>
  </w:num>
  <w:num w:numId="24">
    <w:abstractNumId w:val="37"/>
  </w:num>
  <w:num w:numId="25">
    <w:abstractNumId w:val="22"/>
  </w:num>
  <w:num w:numId="26">
    <w:abstractNumId w:val="21"/>
  </w:num>
  <w:num w:numId="27">
    <w:abstractNumId w:val="41"/>
  </w:num>
  <w:num w:numId="28">
    <w:abstractNumId w:val="43"/>
  </w:num>
  <w:num w:numId="29">
    <w:abstractNumId w:val="1"/>
  </w:num>
  <w:num w:numId="30">
    <w:abstractNumId w:val="36"/>
  </w:num>
  <w:num w:numId="31">
    <w:abstractNumId w:val="32"/>
  </w:num>
  <w:num w:numId="32">
    <w:abstractNumId w:val="4"/>
  </w:num>
  <w:num w:numId="33">
    <w:abstractNumId w:val="5"/>
  </w:num>
  <w:num w:numId="34">
    <w:abstractNumId w:val="3"/>
  </w:num>
  <w:num w:numId="35">
    <w:abstractNumId w:val="0"/>
  </w:num>
  <w:num w:numId="36">
    <w:abstractNumId w:val="33"/>
  </w:num>
  <w:num w:numId="37">
    <w:abstractNumId w:val="44"/>
  </w:num>
  <w:num w:numId="38">
    <w:abstractNumId w:val="9"/>
  </w:num>
  <w:num w:numId="39">
    <w:abstractNumId w:val="11"/>
  </w:num>
  <w:num w:numId="40">
    <w:abstractNumId w:val="17"/>
  </w:num>
  <w:num w:numId="41">
    <w:abstractNumId w:val="2"/>
  </w:num>
  <w:num w:numId="42">
    <w:abstractNumId w:val="42"/>
  </w:num>
  <w:num w:numId="43">
    <w:abstractNumId w:val="29"/>
  </w:num>
  <w:num w:numId="44">
    <w:abstractNumId w:val="14"/>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63B6"/>
    <w:rsid w:val="00034B1D"/>
    <w:rsid w:val="00040CF1"/>
    <w:rsid w:val="00041516"/>
    <w:rsid w:val="000417E2"/>
    <w:rsid w:val="00043159"/>
    <w:rsid w:val="00043277"/>
    <w:rsid w:val="000511DF"/>
    <w:rsid w:val="00051DD7"/>
    <w:rsid w:val="00055F40"/>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0F672D"/>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1BA5"/>
    <w:rsid w:val="001E4648"/>
    <w:rsid w:val="001F5421"/>
    <w:rsid w:val="00211E0F"/>
    <w:rsid w:val="00216F0D"/>
    <w:rsid w:val="002209F1"/>
    <w:rsid w:val="00220BF7"/>
    <w:rsid w:val="00224C44"/>
    <w:rsid w:val="00224E7F"/>
    <w:rsid w:val="00235883"/>
    <w:rsid w:val="002426D3"/>
    <w:rsid w:val="002442B7"/>
    <w:rsid w:val="002560BB"/>
    <w:rsid w:val="002561C8"/>
    <w:rsid w:val="0026512B"/>
    <w:rsid w:val="0026542C"/>
    <w:rsid w:val="00271700"/>
    <w:rsid w:val="0028364A"/>
    <w:rsid w:val="00294190"/>
    <w:rsid w:val="002A0041"/>
    <w:rsid w:val="002A10F1"/>
    <w:rsid w:val="002B0798"/>
    <w:rsid w:val="002B2152"/>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56AD6"/>
    <w:rsid w:val="00360344"/>
    <w:rsid w:val="003613D2"/>
    <w:rsid w:val="0036173C"/>
    <w:rsid w:val="00362213"/>
    <w:rsid w:val="00362E9B"/>
    <w:rsid w:val="00371851"/>
    <w:rsid w:val="00371F01"/>
    <w:rsid w:val="003721AD"/>
    <w:rsid w:val="00380975"/>
    <w:rsid w:val="00384BAB"/>
    <w:rsid w:val="00387C56"/>
    <w:rsid w:val="00396F1B"/>
    <w:rsid w:val="003B292D"/>
    <w:rsid w:val="003B56E5"/>
    <w:rsid w:val="003D3CAA"/>
    <w:rsid w:val="003D7611"/>
    <w:rsid w:val="003E10CF"/>
    <w:rsid w:val="003F2FA4"/>
    <w:rsid w:val="003F3B51"/>
    <w:rsid w:val="003F7DB7"/>
    <w:rsid w:val="0040221E"/>
    <w:rsid w:val="00420666"/>
    <w:rsid w:val="004214FD"/>
    <w:rsid w:val="00426276"/>
    <w:rsid w:val="00427DAD"/>
    <w:rsid w:val="004300D4"/>
    <w:rsid w:val="004316F0"/>
    <w:rsid w:val="00440A72"/>
    <w:rsid w:val="004554CB"/>
    <w:rsid w:val="004775D2"/>
    <w:rsid w:val="00483E26"/>
    <w:rsid w:val="00496BB4"/>
    <w:rsid w:val="004A7ED9"/>
    <w:rsid w:val="004C35B5"/>
    <w:rsid w:val="004C73B6"/>
    <w:rsid w:val="004D2FD8"/>
    <w:rsid w:val="004D63CF"/>
    <w:rsid w:val="004E1A4E"/>
    <w:rsid w:val="004F5C57"/>
    <w:rsid w:val="00501FF0"/>
    <w:rsid w:val="005108FD"/>
    <w:rsid w:val="0051513E"/>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135A9"/>
    <w:rsid w:val="006311FE"/>
    <w:rsid w:val="00633829"/>
    <w:rsid w:val="006408AC"/>
    <w:rsid w:val="00651615"/>
    <w:rsid w:val="00664062"/>
    <w:rsid w:val="0066519D"/>
    <w:rsid w:val="00670C3D"/>
    <w:rsid w:val="00677500"/>
    <w:rsid w:val="0068247E"/>
    <w:rsid w:val="006917B2"/>
    <w:rsid w:val="00694D46"/>
    <w:rsid w:val="006B0AB1"/>
    <w:rsid w:val="006B5A0E"/>
    <w:rsid w:val="006C2F05"/>
    <w:rsid w:val="006E56FD"/>
    <w:rsid w:val="006E6880"/>
    <w:rsid w:val="006F137B"/>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7F13C5"/>
    <w:rsid w:val="00806CE0"/>
    <w:rsid w:val="00811F58"/>
    <w:rsid w:val="00822CBC"/>
    <w:rsid w:val="008512E1"/>
    <w:rsid w:val="00853F9D"/>
    <w:rsid w:val="008552E8"/>
    <w:rsid w:val="0085667F"/>
    <w:rsid w:val="008617F3"/>
    <w:rsid w:val="008766DD"/>
    <w:rsid w:val="008808CB"/>
    <w:rsid w:val="00882B76"/>
    <w:rsid w:val="008859E6"/>
    <w:rsid w:val="008A39B7"/>
    <w:rsid w:val="008A553E"/>
    <w:rsid w:val="008B5A9D"/>
    <w:rsid w:val="008D4F38"/>
    <w:rsid w:val="008E21AF"/>
    <w:rsid w:val="008E40E2"/>
    <w:rsid w:val="008F198A"/>
    <w:rsid w:val="00920A51"/>
    <w:rsid w:val="00922542"/>
    <w:rsid w:val="0092634C"/>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120A1"/>
    <w:rsid w:val="00A20F50"/>
    <w:rsid w:val="00A37F7F"/>
    <w:rsid w:val="00A47856"/>
    <w:rsid w:val="00A512C9"/>
    <w:rsid w:val="00A539E4"/>
    <w:rsid w:val="00A5762A"/>
    <w:rsid w:val="00A57B88"/>
    <w:rsid w:val="00A62073"/>
    <w:rsid w:val="00A63E3C"/>
    <w:rsid w:val="00A75650"/>
    <w:rsid w:val="00A7693B"/>
    <w:rsid w:val="00A97024"/>
    <w:rsid w:val="00AA24A4"/>
    <w:rsid w:val="00AA4E3B"/>
    <w:rsid w:val="00AB29A9"/>
    <w:rsid w:val="00AB66A5"/>
    <w:rsid w:val="00AC0177"/>
    <w:rsid w:val="00AC7636"/>
    <w:rsid w:val="00AD1B8E"/>
    <w:rsid w:val="00AD3FB8"/>
    <w:rsid w:val="00AD4107"/>
    <w:rsid w:val="00AE6600"/>
    <w:rsid w:val="00AE7654"/>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5410"/>
    <w:rsid w:val="00C17310"/>
    <w:rsid w:val="00C174BC"/>
    <w:rsid w:val="00C20144"/>
    <w:rsid w:val="00C23B17"/>
    <w:rsid w:val="00C302E1"/>
    <w:rsid w:val="00C3235B"/>
    <w:rsid w:val="00C34E40"/>
    <w:rsid w:val="00C36B04"/>
    <w:rsid w:val="00C4214C"/>
    <w:rsid w:val="00C42256"/>
    <w:rsid w:val="00C55B44"/>
    <w:rsid w:val="00C570FD"/>
    <w:rsid w:val="00C61312"/>
    <w:rsid w:val="00C62A7A"/>
    <w:rsid w:val="00C720C8"/>
    <w:rsid w:val="00C75CCE"/>
    <w:rsid w:val="00C92434"/>
    <w:rsid w:val="00CA1354"/>
    <w:rsid w:val="00CA6C68"/>
    <w:rsid w:val="00CC7DE2"/>
    <w:rsid w:val="00CD7F25"/>
    <w:rsid w:val="00CF6CFA"/>
    <w:rsid w:val="00CF7AAC"/>
    <w:rsid w:val="00D10EF9"/>
    <w:rsid w:val="00D24893"/>
    <w:rsid w:val="00D43612"/>
    <w:rsid w:val="00D514AA"/>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0224"/>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75C18"/>
    <w:rsid w:val="00E811F3"/>
    <w:rsid w:val="00E85F91"/>
    <w:rsid w:val="00E92A2A"/>
    <w:rsid w:val="00EB4039"/>
    <w:rsid w:val="00EC33E4"/>
    <w:rsid w:val="00EE0ED9"/>
    <w:rsid w:val="00EE2E55"/>
    <w:rsid w:val="00F01BB4"/>
    <w:rsid w:val="00F02006"/>
    <w:rsid w:val="00F0574A"/>
    <w:rsid w:val="00F12A62"/>
    <w:rsid w:val="00F15393"/>
    <w:rsid w:val="00F1654F"/>
    <w:rsid w:val="00F228B1"/>
    <w:rsid w:val="00F25BC8"/>
    <w:rsid w:val="00F33A99"/>
    <w:rsid w:val="00F35836"/>
    <w:rsid w:val="00F53DB6"/>
    <w:rsid w:val="00F56D4C"/>
    <w:rsid w:val="00F658F3"/>
    <w:rsid w:val="00F66567"/>
    <w:rsid w:val="00F8016B"/>
    <w:rsid w:val="00F804E1"/>
    <w:rsid w:val="00F87F88"/>
    <w:rsid w:val="00F90A9F"/>
    <w:rsid w:val="00F91104"/>
    <w:rsid w:val="00F91DF6"/>
    <w:rsid w:val="00F9339D"/>
    <w:rsid w:val="00F962E3"/>
    <w:rsid w:val="00FA3F66"/>
    <w:rsid w:val="00FB076C"/>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 w:type="paragraph" w:customStyle="1" w:styleId="Default">
    <w:name w:val="Default"/>
    <w:rsid w:val="001E1BA5"/>
    <w:pPr>
      <w:autoSpaceDE w:val="0"/>
      <w:autoSpaceDN w:val="0"/>
      <w:adjustRightInd w:val="0"/>
    </w:pPr>
    <w:rPr>
      <w:rFonts w:ascii="Titillium Up" w:eastAsiaTheme="minorHAnsi" w:hAnsi="Titillium Up" w:cs="Titillium Up"/>
      <w:color w:val="000000"/>
      <w:sz w:val="24"/>
      <w:szCs w:val="24"/>
      <w14:ligatures w14:val="standardContextual"/>
    </w:rPr>
  </w:style>
  <w:style w:type="character" w:customStyle="1" w:styleId="A2">
    <w:name w:val="A2"/>
    <w:uiPriority w:val="99"/>
    <w:rsid w:val="001E1BA5"/>
    <w:rPr>
      <w:rFonts w:cs="Titillium Up"/>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01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6641</Words>
  <Characters>37854</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2012-09-24T10:13:00Z</cp:lastPrinted>
  <dcterms:created xsi:type="dcterms:W3CDTF">2026-03-18T06:14:00Z</dcterms:created>
  <dcterms:modified xsi:type="dcterms:W3CDTF">2026-03-18T06:14:00Z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